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МИНИСТЕРСТВО НАУКИ И ВЫСШЕГО ОБРАЗОВАНИЯРОССИЙСКОЙ ФЕДЕРАЦИИФЕДЕРАЛЬНОЕ ГОСУДАРСТВЕННОЕ БЮДЖЕТНОЕ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УНИВЕРСИТЕТ ИМЕНИ О.Е. КУТАФИНА (МГЮА)»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6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институт (филиал)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уголовно-процессуального права и криминалистики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ПРАКТИКИ                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17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Б2.В.02(Пд)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917" w:rsidRPr="00020917" w:rsidRDefault="00932A0C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 - 2023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215"/>
      </w:tblGrid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Код и наименование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специальности:</w:t>
            </w: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Уровень высшего </w:t>
            </w: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Специализация ОПОП ВО</w:t>
            </w: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государственно-правовая</w:t>
            </w: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Форма (формы) </w:t>
            </w:r>
            <w:r w:rsidRPr="000209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  <w:t>обучения:</w:t>
            </w: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заочная, заочная (ускоренное обучение на базе ВО)</w:t>
            </w:r>
          </w:p>
        </w:tc>
      </w:tr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c>
          <w:tcPr>
            <w:tcW w:w="3936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</w:tcPr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917" w:rsidRPr="00020917" w:rsidRDefault="00932A0C" w:rsidP="000209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 - 2023</w:t>
            </w:r>
          </w:p>
        </w:tc>
      </w:tr>
    </w:tbl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Программа утверждена на заседании кафедры уголовно-процессуального права и криминалистики, протокол № </w:t>
      </w:r>
      <w:r w:rsidR="00932A0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32A0C">
        <w:rPr>
          <w:rFonts w:ascii="Times New Roman" w:eastAsia="Times New Roman" w:hAnsi="Times New Roman" w:cs="Times New Roman"/>
          <w:sz w:val="26"/>
          <w:szCs w:val="26"/>
        </w:rPr>
        <w:t>15 мая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32A0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Авторы: 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Шмелева Е.С. 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020917" w:rsidRPr="00020917" w:rsidRDefault="00020917" w:rsidP="000209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Ганина О.Ю. – кандидат исторических наук, доцент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кафедры конституционного и международного права Оренбургского института (филиала) Университета имени О.Е. Кутафина (МГЮА).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Резепкин А.М.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>Жеребятьев И.В.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>кандидат юридических наук, мировой судья судебного участка №1 Ленинского района г. Оренбурга.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>Шмелева Е.С.,</w:t>
      </w:r>
      <w:r w:rsidRPr="000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Ганина О.Ю.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>Преддипломная практика: рабочая программа преддипломной практики / Шмелева Е.С.,</w:t>
      </w:r>
      <w:r w:rsidRPr="000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Ганина О.Ю.</w:t>
      </w:r>
      <w:r w:rsidR="00932A0C">
        <w:rPr>
          <w:rFonts w:ascii="Times New Roman" w:eastAsia="Times New Roman" w:hAnsi="Times New Roman" w:cs="Times New Roman"/>
          <w:sz w:val="26"/>
          <w:szCs w:val="26"/>
        </w:rPr>
        <w:t xml:space="preserve"> — Оренбург, 2023</w:t>
      </w:r>
      <w:r w:rsidRPr="000209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707" w:right="-14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020917" w:rsidRPr="00020917" w:rsidSect="005468A7">
          <w:headerReference w:type="default" r:id="rId7"/>
          <w:footerReference w:type="default" r:id="rId8"/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020917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</w:t>
      </w:r>
      <w:r w:rsidR="00932A0C">
        <w:rPr>
          <w:rFonts w:ascii="Times New Roman" w:eastAsia="Times New Roman" w:hAnsi="Times New Roman" w:cs="Times New Roman"/>
          <w:sz w:val="26"/>
          <w:szCs w:val="26"/>
        </w:rPr>
        <w:t>имени О.Е. Кутафина (МГЮА), 2023</w:t>
      </w:r>
    </w:p>
    <w:p w:rsidR="00020917" w:rsidRPr="00020917" w:rsidRDefault="00020917" w:rsidP="00020917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ОБЩИЕ ПОЛОЖЕНИЯ.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t>1.1. Цели и задачи освоения преддипломной практики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Цель преддипломной практики: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сбор эмпирического материала для написания выпускной квалификационной работы;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углубление и закрепление теоретических знаний по общепрофессиональным и специальным дисциплинам.</w:t>
      </w:r>
    </w:p>
    <w:p w:rsidR="00020917" w:rsidRPr="00020917" w:rsidRDefault="00020917" w:rsidP="00020917">
      <w:pPr>
        <w:widowControl w:val="0"/>
        <w:suppressAutoHyphens/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t>1.2 Место преддипломной практики в структуре ОПОП ВО</w:t>
      </w:r>
    </w:p>
    <w:p w:rsidR="00020917" w:rsidRPr="00020917" w:rsidRDefault="00020917" w:rsidP="00020917">
      <w:pPr>
        <w:tabs>
          <w:tab w:val="left" w:pos="720"/>
        </w:tabs>
        <w:suppressAutoHyphens/>
        <w:spacing w:after="0" w:line="240" w:lineRule="auto"/>
        <w:ind w:left="720" w:right="2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Входит в часть, формируемую участниками образовательных отношений Блока Б2 «Практики» ОПОП ВО.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– вид учебной деятельности, который непосредственно ориентирован на практическую подготовку обучающихся и нацелен на получение ими профессиональных умений и опыта профессиональной деятельности. Преддипломная практика проводится для выполнения выпускной квалификационной работы и является обязательной.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графиком, программой практики и Положением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в Правительстве Оренбургской области базируется на предварительном освоении таких предметов, как «Конституционное право России», «Муниципальное право».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Преддипломная практика в Избирательной комиссии Оренбургской области базируется на предварительном освоении таких предметов, как «Конституционное право России», «Муниципальное право».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Студент, направляемый для прохождения преддипломной практики в Правительство Оренбургской области, должен обладать знаниями по организации системы органов исполнительной власти Российской Федерации, системы органов исполнительной власти субъектов Российской Федерации; знаниями о структуре и основных направлениях деятельности исполнительного органа власти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субъекта федерации. 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Студент, направляемый для прохождения преддипломной практики в Избирательную комиссию Оренбургской области должен обладать знаниями по организации избирательного процесса в Российской Федерации, системы избирательных комиссий России, порядка формирования органов государственной власти и органов местного самоуправления. 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Логическая и содержательно-методическая связь преддипломной практики с другими частями образовательной программы проявляется в углубленном ознакомлении с деятельностью Правительства Оренбургской области и Избирательной комиссии Оренбургской области. 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1.3. Формируемые компетенции и индикаторы их достижения 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(планируемые результаты освоения преддипломной практики)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итогам освоения учебной практики обучающийся должен обладать следующими компетенциями в соответствии с ФГОС ВО: </w:t>
      </w: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УК-1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управлять проектом на всех этапах его жизненного цикла;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УК-4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УК-5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УК-11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формировать нетерпимое отношение к коррупционному поведению;</w:t>
      </w: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ПК-1 Способен разрабатывать проекты нормативных правовых актов, правовые нормы для различных уровней нормотворчества,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 в сфере обеспечения законности и правопорядка, безопасности личности, общества и государства</w:t>
      </w:r>
      <w:r w:rsidRPr="0002091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020917" w:rsidRPr="00020917" w:rsidRDefault="00020917" w:rsidP="000209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ПК-2 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Способен квалифицировано применять правовые нормы и принимать правоприменительные акты в сфере обеспечения законности и правопорядка, безопасности личности, общества и государства;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ПК-3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Способен обеспечивать законность и правопорядок, безопасность личности, общества и государства.</w:t>
      </w:r>
    </w:p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727"/>
        <w:gridCol w:w="3792"/>
      </w:tblGrid>
      <w:tr w:rsidR="00020917" w:rsidRPr="00020917" w:rsidTr="000E5E15">
        <w:tc>
          <w:tcPr>
            <w:tcW w:w="2559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Этапы практики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Код и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наименование формируемых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Индикатор достижения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компетенций (планируемый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результат освоения практики)</w:t>
            </w:r>
          </w:p>
        </w:tc>
      </w:tr>
      <w:tr w:rsidR="00020917" w:rsidRPr="00020917" w:rsidTr="000E5E15">
        <w:trPr>
          <w:trHeight w:val="43"/>
        </w:trPr>
        <w:tc>
          <w:tcPr>
            <w:tcW w:w="2559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Подготовительный этап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управлять проектом на всех этапах его жизненного цикла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УК-4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разрабатывать проекты нормативных правовых актов, правовые нормы для различных уровней нормотворчества,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 в сфере обеспечения законности и правопорядка, безопасности личности, общества и государства</w:t>
            </w:r>
          </w:p>
        </w:tc>
        <w:tc>
          <w:tcPr>
            <w:tcW w:w="4142" w:type="dxa"/>
            <w:shd w:val="clear" w:color="auto" w:fill="auto"/>
          </w:tcPr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Анализирует проблемную ситуацию как систему, выявляя ее составляющие и связи между ними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Критически  оценивает надежность источников информации, работает с противоречивой информацией из разных источников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УК-1.4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УК-1.5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Составляет, переводит и редактирует различные академические тексты (рефераты, эссе, обзоры, статьи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 т.д.), в том числе на иностранном(ых) языке(ах)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УК-4.4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Аргументировано и конструктивно отстаивает свои позиции и идеи в академических и профессиональных дискуссиях на государственном языке РФ и иностранном(ых) языке(ах)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 1.1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Выявляет пробелы и коллизии действующего законодательства в сфере обеспечения законности и правопорядка, безопасности личности, общества и государства и владеет способами их преодоления и устранения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 с точки зрения обеспечения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ПК-1.4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Демонстрирует знание основных приемов законодательной техники при разработке нормативных правовых актов в сфере обеспечения законности и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ПК-1.5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значение правовой экспертизы нормативных правовых актов для обеспечения законности и правопорядка, безопасности личности, общества и государства, способен принять участие в ее проведении</w:t>
            </w:r>
          </w:p>
        </w:tc>
      </w:tr>
      <w:tr w:rsidR="00020917" w:rsidRPr="00020917" w:rsidTr="000E5E15">
        <w:tc>
          <w:tcPr>
            <w:tcW w:w="2559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 этап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квалифицировано применять правовые нормы и принимать правоприменительные акты в сфере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обеспечения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УК-5.1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УК-5.3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Обеспечивает создание недискриминационной среды взаимодействия при выполнении профессиональных задач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 xml:space="preserve">Определяет задачи саморазвития и профессионального роста, распределяет их на долго-, средне- и краткосрочные с обоснованием актуальности и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определением необходимых ресурсов для их выполнения</w:t>
            </w:r>
          </w:p>
          <w:p w:rsidR="00020917" w:rsidRPr="00020917" w:rsidRDefault="00020917" w:rsidP="0002091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УК-6.3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Знает содержание нормативных правовых актов, регулирующих обеспечение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Знает функции и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Понимает механизм реализации норм права, регламентирующих вопросы обеспечения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ПК-2.4</w:t>
            </w: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Осуществляет поиск, обобщение, анализ информации, имеющей значение для реализации правовых норм в сфере обеспечения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ПК-2.6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Владеет навыками принятия правоприменительных актов в сфере обеспечения законности и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правопорядка, безопасности личности, общества и государства</w:t>
            </w:r>
          </w:p>
        </w:tc>
      </w:tr>
      <w:tr w:rsidR="00020917" w:rsidRPr="00020917" w:rsidTr="000E5E15">
        <w:tc>
          <w:tcPr>
            <w:tcW w:w="2559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02091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УК-11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Способен формировать нетерпимое отношение к коррупционному поведению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Способен обеспечивать законность и правопорядок, безопасность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УК-11.1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Анализирует правовые последствия коррупционной деятельности, в том числе собственных действий или бездействий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УК-11.2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Использует правомерные способы решения задач в социальной и профессиональной сферах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Понимает механизм обеспечения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Знает содержание деятельности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выявлять угрозы нарушения законности и правопорядка, безопасности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>Умеет выявлять нарушения законности и правопорядка, безопасности личности, общества и государства, причины и условия, способствующие их совершению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ПК-3.5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Умеет применять нормы права, регулирующие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ПК-3.6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  <w:t xml:space="preserve">Определяет меры, принятие которых необходимо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для своевременного и полного устранения выявленных нарушений законности и правопорядка, безопасности личности, общества и государства.</w:t>
            </w:r>
          </w:p>
        </w:tc>
      </w:tr>
    </w:tbl>
    <w:p w:rsidR="00020917" w:rsidRPr="00020917" w:rsidRDefault="00020917" w:rsidP="00020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II.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СТРУКТУРА И СОДЕРЖАНИЕ ПРЕДДИПЛОМНОЙ ПРАКТИКИ</w:t>
      </w:r>
    </w:p>
    <w:p w:rsidR="00020917" w:rsidRPr="00020917" w:rsidRDefault="00020917" w:rsidP="00020917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right="108"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Объем преддипломной практики составляет 9 з.е., 324 академических часа. Форма промежуточной аттестации – зачет.</w:t>
      </w:r>
    </w:p>
    <w:p w:rsidR="00020917" w:rsidRPr="00020917" w:rsidRDefault="00020917" w:rsidP="00020917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 Тематические планы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2.1.1. Тематический план для очной формы обучения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20917" w:rsidRPr="00020917" w:rsidTr="000E5E15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:rsidR="00020917" w:rsidRPr="00020917" w:rsidRDefault="00020917" w:rsidP="00020917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2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020917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:rsidR="00020917" w:rsidRPr="00020917" w:rsidRDefault="00020917" w:rsidP="00020917">
            <w:pPr>
              <w:spacing w:after="0" w:line="240" w:lineRule="auto"/>
              <w:ind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ind w:right="8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509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020917" w:rsidRPr="00020917" w:rsidTr="000E5E15">
        <w:trPr>
          <w:trHeight w:val="1275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Координация и контроль процесса прохождения практики со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стороны руководителя от Университета</w:t>
            </w: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02091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020917" w:rsidRPr="00020917" w:rsidTr="000E5E15">
        <w:trPr>
          <w:trHeight w:val="341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0" w:right="460" w:firstLine="39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Зачет </w:t>
            </w:r>
          </w:p>
        </w:tc>
      </w:tr>
    </w:tbl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2.1.2. Тематический план для заочной формы обучения 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20917" w:rsidRPr="00020917" w:rsidTr="000E5E15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321" w:right="32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2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020917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</w:tc>
      </w:tr>
      <w:tr w:rsidR="00020917" w:rsidRPr="00020917" w:rsidTr="000E5E15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:rsidR="00020917" w:rsidRPr="00020917" w:rsidRDefault="00020917" w:rsidP="00020917">
            <w:pPr>
              <w:spacing w:after="0" w:line="240" w:lineRule="auto"/>
              <w:ind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ind w:right="86" w:firstLine="39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509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020917" w:rsidRPr="00020917" w:rsidTr="000E5E15">
        <w:trPr>
          <w:trHeight w:val="1275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 Составление плана практики и контроль со стороны руководителя практики по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месту её прохождения.</w:t>
            </w:r>
          </w:p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02091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0917" w:rsidRPr="00020917" w:rsidTr="000E5E15">
        <w:trPr>
          <w:trHeight w:val="341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3" w:firstLine="3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ind w:left="100" w:right="460" w:firstLine="39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</w:tbl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2.1.3. Тематический план для заочной формы обучения </w:t>
      </w:r>
    </w:p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(ускоренное обучение на базе ВПО)</w:t>
      </w:r>
    </w:p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20917" w:rsidRPr="00020917" w:rsidTr="000E5E15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Этапы практики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Pr="00020917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емес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Виды учебной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55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объем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 академических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образовательного процесса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текущего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/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промежуточной аттестации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509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020917" w:rsidRPr="00020917" w:rsidTr="000E5E15">
        <w:trPr>
          <w:trHeight w:val="1275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02091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020917" w:rsidRPr="00020917" w:rsidTr="000E5E15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8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106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Индивидуальное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Консультирование руководителем практики от Университета</w:t>
            </w: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 и контроль со стороны руководителя практики по месту её прохождения. Координация и </w:t>
            </w: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0917" w:rsidRPr="00020917" w:rsidTr="000E5E15">
        <w:trPr>
          <w:trHeight w:val="1816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02091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020917" w:rsidRPr="00020917" w:rsidTr="000E5E15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Итого в 8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  <w:tr w:rsidR="00020917" w:rsidRPr="00020917" w:rsidTr="000E5E15">
        <w:trPr>
          <w:trHeight w:val="341"/>
        </w:trPr>
        <w:tc>
          <w:tcPr>
            <w:tcW w:w="567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0917" w:rsidRPr="00020917" w:rsidRDefault="00020917" w:rsidP="000209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Зачет (4)</w:t>
            </w:r>
          </w:p>
        </w:tc>
      </w:tr>
    </w:tbl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right="108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2.2. 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Самостоятельная работа</w:t>
      </w:r>
    </w:p>
    <w:p w:rsidR="00020917" w:rsidRPr="00020917" w:rsidRDefault="00020917" w:rsidP="00020917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прохождении преддипломной практики обучающимися всех форм обучения используются следующие виды и формы самостоятельной работы: 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выполнение индивидуальных заданий в письменной форме;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 самостоятельное составление проектов процессуальных документов;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подготовка ответов на контрольные вопросы в письменной форме для устного ответа на защите;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формирование отчётных материалов в письменной форме.</w:t>
      </w:r>
    </w:p>
    <w:p w:rsidR="00020917" w:rsidRPr="00020917" w:rsidRDefault="00020917" w:rsidP="0002091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III.</w:t>
      </w: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>ОЦЕНКА КАЧЕСТВА ОСВОЕНИЯ ПРЕДДИПЛОМНОЙ ПРАКТИКИ</w:t>
      </w:r>
    </w:p>
    <w:p w:rsidR="00020917" w:rsidRPr="00020917" w:rsidRDefault="00020917" w:rsidP="00020917">
      <w:pPr>
        <w:spacing w:after="0" w:line="240" w:lineRule="auto"/>
        <w:ind w:right="108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3.1 Формирование отчетных материалов </w:t>
      </w:r>
    </w:p>
    <w:p w:rsidR="00020917" w:rsidRPr="00020917" w:rsidRDefault="00020917" w:rsidP="00020917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с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тудентам перед прохождением практики инспектором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выдаются направление, дневник практики, индивидуальное задание на практику. Направление на практику, дневник и индивидуальное задание выдаются студенту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прохождении преддипломной практики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Избирательной комиссии Оренбургской области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209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тудент должен: 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законодательство, регламентирующее порядок организации и проведения выборов в Российской Федерации;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нормативные правовые акты, регламентирующие деятельность Избирательной комиссии Оренбургской области; 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организацией, в которой будет проходить практику студент;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со структурой Избирательной комиссии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направления деятельности Избирательной комиссии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виды деятельности структурного подразделения, в котором будет проходить практику студент;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юридические документы структурного подразделения;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порядком проведения заседаний Избирательной комиссии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процедуру рассмотрения обращений граждан по вопросам в соответствии с профилем структурного подразделения;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организацию выборов в соответствии с действующим законодательством;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и подготовить оценку этапов организации выборов (предвыборной агитации);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мероприятиях, посвященных повышению правовой грамотности избирателей;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процесс подготовки проектов постановлений Избирательной комиссии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сроки и алгоритмы ответов на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обращения участников избирательного процесса с жалобами на нарушение их избирательных прав;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студент должен провести самостоятельно обобщение обращений граждан в Избирательную комиссию Оренбургской области по профилю работы организации (или ее структурных подразделений).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прохождении преддипломной практики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Правительстве Оренбургской области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209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тудент должен: 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систему органов исполнительной власти Российской Федерации;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структуру органов исполнительной власти субъектов Российской Федерации;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законодательство, регламентирующее порядок организации и деятельности федеральных органов исполнительных власти;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нормативные правовые акты, регламентирующие порядок организации и деятельности Правительства Оренбургской области; 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организацией, в которой будет проходить практику студент;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со структурой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направления деятельности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порядком проведения заседаний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структуру аппарата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ознакомиться с положением о структурном подразделении, регламентом работы и организационной структурой, должностными инструкциями и обязанностями сотрудников в структурном подразделении, планом работы на текущий отчетный период;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основные виды деятельности структурного подразделения, в котором будет проходить практику студент;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юридические документы структурного подразделения;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порядок подготовки материалов к совещаниям, заседаниям комиссий и комитетов,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докладов и ответов на письма и обращения граждан и юридических лиц;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делопроизводство структурного подразделения, в котором будет проходить практику студент;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организационно-правовой механизм разработки и принятия решений, доведения их до исполнителей и контроль за исполнением решений;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порядок приема обращений граждан в Правительство Оренбургской области; 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сроки и алгоритмы ответов на обращения граждан с жалобами на нарушение их прав;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рассмотрения заявлений граждан, организаций об оспаривании решения, действия (бездействия) органа государственной власти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нормативные правовые акты о государственной гражданской службе;</w:t>
      </w:r>
    </w:p>
    <w:p w:rsidR="00020917" w:rsidRPr="00020917" w:rsidRDefault="00020917" w:rsidP="00020917">
      <w:pPr>
        <w:widowControl w:val="0"/>
        <w:numPr>
          <w:ilvl w:val="0"/>
          <w:numId w:val="24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организации и деятельности общественных приемных Губернатора Оренбургской области в городах и районах области.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прохождения практики студент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индивидуальное задание для прохождения практики.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характеристику с места практики и формирует отчётные материалы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программой практики, индивидуальным заданием руководителя практики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020917" w:rsidRPr="00020917" w:rsidRDefault="00020917" w:rsidP="00020917">
      <w:pPr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020917" w:rsidRPr="00020917" w:rsidRDefault="00020917" w:rsidP="00020917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:rsidR="00020917" w:rsidRPr="00020917" w:rsidRDefault="00020917" w:rsidP="00020917">
      <w:pPr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прохождения преддипломной практики обучающийся обязан представить: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Характеристику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полнота и качество выполнения программы практики, отношение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студента к выполнению заданий, полученных в период практики, оценка результатов практики студента;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проявленные студентом профессиональные и личные качества;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выводы о профессиональной пригодности студента.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Отчётные материалы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Дневник практики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 по практике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эссе, котором отражаются (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прохождении практики в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Избирательной комиссии Оренбургской области)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20917" w:rsidRPr="00020917" w:rsidRDefault="00020917" w:rsidP="00020917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:rsidR="00020917" w:rsidRPr="00020917" w:rsidRDefault="00020917" w:rsidP="00020917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практики, составленный вместе с руководителем по месту практики;</w:t>
      </w:r>
    </w:p>
    <w:p w:rsidR="00020917" w:rsidRPr="00020917" w:rsidRDefault="00020917" w:rsidP="00020917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выполненной работы по разделам программы; </w:t>
      </w:r>
    </w:p>
    <w:p w:rsidR="00020917" w:rsidRPr="00020917" w:rsidRDefault="00020917" w:rsidP="00020917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наиболее интересных документов, изученных студентом в процессе практики;</w:t>
      </w:r>
    </w:p>
    <w:p w:rsidR="00020917" w:rsidRPr="00020917" w:rsidRDefault="00020917" w:rsidP="00020917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заседаний, на которых присутствовал обучающийся, или разбора жалоб, при рассмотрении которых присутствовал студент;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затруднения и сложные вопросы, возникшие при изучении конкретных материалов;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по совершенствованию организации и деятельности структурных подразделений Избирательной комиссии Оренбургской области;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выполнения индивидуального задания.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 по практике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эссе, котором отражаются (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прохождении практики в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Правительстве Оренбургской области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:rsidR="00020917" w:rsidRPr="00020917" w:rsidRDefault="00020917" w:rsidP="00020917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:rsidR="00020917" w:rsidRPr="00020917" w:rsidRDefault="00020917" w:rsidP="00020917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практики, составленный вместе с руководителем по месту практики;</w:t>
      </w:r>
    </w:p>
    <w:p w:rsidR="00020917" w:rsidRPr="00020917" w:rsidRDefault="00020917" w:rsidP="00020917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выполненной работы по разделам программы; </w:t>
      </w:r>
    </w:p>
    <w:p w:rsidR="00020917" w:rsidRPr="00020917" w:rsidRDefault="00020917" w:rsidP="00020917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наиболее интересных документов, изученных студентом в процессе практики;</w:t>
      </w:r>
    </w:p>
    <w:p w:rsidR="00020917" w:rsidRPr="00020917" w:rsidRDefault="00020917" w:rsidP="00020917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заседаний, на которых  присутствовал обучающийся, или разбора жалоб, при рассмотрении которых присутствовал студент;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затруднения и сложные вопросы, возникшие при изучении конкретных материалов;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по совершенствованию организации и деятельности структурных подразделений Правительства Оренбургской области;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выполнения индивидуального задания.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 отчета 10-12 страниц (формат А4, шрифт текста — TimesNewRoman, 14, междустрочный интервал -1,5). Текст печатается на одной стороне листа.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документов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студентом на основании изученных дел, а также в ходе прохождения практики (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прохождении практики в </w:t>
      </w: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Избирательной комиссии Оренбургской области)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сведения об избирательном участке и участковой избирательной комиссии;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голосовании избирателей;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вышестоящих избирательных комиссиях;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первый экземпляр протокола участковой избирательной комиссии об итогах голосования и приобщенные к нему особые мнения членов участковой комиссии с правом решающего голоса (при наличии);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второй экземпляр протокола участковой избирательной комиссии об итогах голосования;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жалобы (заявления) на нарушения Федерального закона № 67-ФЗ, поступившие в участковую комиссию в день голосования и до окончания подсчета голосов избирателей, а также принятые по указанным жалобам (заявлениям) решения участковой избирательной комиссии, акты, реестр;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 о голосовании вне помещения для голосования;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отчет о поступлении и расходовании средств, выделенных на подготовку и проведение выборов, и приложенные к отчету первичные финансовые документы; 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протокол заседания избирательной комиссии по выборам в органы государственной власти и органы местного самоуправления;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избирательной комиссии о внесении изменений в список избирателей избирательного участка № ___ на выборах в органы государственной власти и органы местного самоуправления;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об отклонении заявления гражданина о включении его в список избирателей избирательного участка на выборах;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гражданина о включении его в список избирателей на избирательном участке;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вкладной лист списка избирателей;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избирателя о возможности проголосовать досрочно;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избирательной комиссии о рассмотрении заявления избирателя о предоставлении возможности проголосовать досрочно;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проведении досрочного голосования по выборам в органы государственной власти и органы местного самоуправления;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ходе голосования на выборах в органы государственной власти субъекта Российской Федерации;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 о результатах подсчета голосов избирателей, проголосовавших досрочно.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документов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студентом на основании изученных материалов (</w:t>
      </w:r>
      <w:r w:rsidRPr="000209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прохождении практики в Правительстве Оренбургской области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Правительстве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структуре Правительства Оренбургской области (комитеты, департаменты и т.д.);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полномочиях, задачах, функциях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законопроект, который вносит Правительство Оренбургской области на рассмотрение Законодательного Собрания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Оренбургской области по определенному вопросу (по выбору студента);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Правительства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системе органов исполнительной власти Оренбургской области;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структуре министерства, входящего с систему органов исполнительной власти Оренбургской области (по выбору студента);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(по выбору студента);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(заявления) граждан на нарушение их прав (по профилю структурного подразделения);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структурного подразделения, в котором проходит практику студент, на жалобу гражданина на нарушение его прав;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правовых позиций Конституционного Суда Российской Федерации по вопросам организации исполнительной власти в субъектах Российской Федерации;</w:t>
      </w:r>
    </w:p>
    <w:p w:rsidR="00020917" w:rsidRPr="00020917" w:rsidRDefault="00020917" w:rsidP="00020917">
      <w:pPr>
        <w:widowControl w:val="0"/>
        <w:numPr>
          <w:ilvl w:val="0"/>
          <w:numId w:val="25"/>
        </w:numPr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заключение по вопросам организации исполнительной власти в субъектах Российской Федерации.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020917" w:rsidRPr="00020917" w:rsidRDefault="00020917" w:rsidP="0002091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Студенты, чьи отчетные материалы или характеристика оформлены неполно или небрежно, к защите  практики не допускаются.</w:t>
      </w:r>
    </w:p>
    <w:p w:rsidR="00020917" w:rsidRPr="00020917" w:rsidRDefault="00020917" w:rsidP="00020917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студентом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студент допускается к защите отчета о практике.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защиты студент должен ответить на вопросы, поставленные преподавателем в рецензии.</w:t>
      </w:r>
    </w:p>
    <w:p w:rsidR="00020917" w:rsidRPr="00020917" w:rsidRDefault="00020917" w:rsidP="00020917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Toc529538717"/>
      <w:r w:rsidRPr="0002091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3.2Примерные контрольные вопросы </w:t>
      </w:r>
      <w:bookmarkEnd w:id="0"/>
      <w:r w:rsidRPr="0002091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при собеседовании в рамках </w:t>
      </w:r>
    </w:p>
    <w:p w:rsidR="00020917" w:rsidRPr="00020917" w:rsidRDefault="00020917" w:rsidP="00020917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2091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защиты отчета </w:t>
      </w:r>
    </w:p>
    <w:p w:rsidR="00020917" w:rsidRPr="00020917" w:rsidRDefault="00020917" w:rsidP="00020917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 Вопросы при рецензировании отчета (при прохождении практики в Правительстве Оренбургской области)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Конституционно-правовые нормы: понятие, особенности, классификация.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Конституционно-правовые отношения: понятие, субъекты.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Конституционно-правовая ответственность.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Обеспечение верховенства Конституции Российской Федерации и федерального законодательства.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Законодательство субъектов Российской Федерации. 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Обеспечение доступа к информации о деятельности государственных органов.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Понятие и юридическая природа основных (конституционных) прав и свобод человека и гражданина.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8. Гарантии соблюдения прав и свобод человека и гражданина в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Право граждан Российской Федерации на обращение в органы государственной власти. Порядок рассмотрения обращений.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Конституционно-правовая регламентация системы органов государственной власти субъекта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Система и виды органов государственной власти в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Система органов исполнительной власти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Система органов исполнительной власти субъектов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Высшее должностное лицо (руководитель высшего исполнительного органа государственной власти) субъекта Российской Федерации: порядок наделения полномочиями, полномочия, принимаемые акты.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Высший исполнительный орган государственной власти субъекта Российской Федерации: основы деятельности, полномочия, акты.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Порядок формирования, состав и срок полномочий Правительства Оренбургской области.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Ответственность Правительства Оренбургской области.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Обеспечение законности в деятельности органов государственной власти субъектов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19. Министерства как органы исполнительной власти субъекта Российской Федерации.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20. Взаимодействие органов исполнительной власти субъекта Российской Федерации с вышестоящими органами государственной власти.</w:t>
      </w: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 Вопросы при рецензировании отчета (при прохождении практики в Избирательной комиссии Оренбургской области)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1.Понятие и основные виды избирательных систем.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Особенности российской избирательной системы.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Соответствие российской избирательной системы международным избирательным стандартам.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Федеральное избирательное законодательство (общая характеристика).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5.Избирательное законодательство субъектов Российской Федерации (общая характеристика).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Особенности правового регулирования муниципальных выборов.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Акты Центральной избирательной комиссии Российской Федерации и их роль в организации избирательного процесса.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Понятие «избиратель»: юридическая характеристика.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Понятие избирательного объединения. Порядок формирования и регистрации. Роль политических партий в избирательном процессе.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Избирательные комиссии: система и порядок формирования.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Правовой статус избирательных комиссий. Их функции и место в системе органов публичной власти.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Правовой статус Центральной избирательной комиссии Российской Федерации: структура, полномочия, акты.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Полномочия и особенности правового статуса избирательных комиссий субъектов Российской Федерации.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Полномочия и особенности правового положения избирательных комиссий муниципальных образований.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Полномочия и особенности правового положения окружных избирательных комиссий.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Полномочия и особенности правового положения территориальных избирательных комиссий.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Полномочия и особенности правового положения участковых избирательных комиссий.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19. Статус членов избирательных комиссий.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Статус члена избирательной комиссии с правом совещательного голоса.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21. Организация и принципы деятельности избирательных комиссий.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22. Избирательный процесс: понятие, стадии, избирательные технологии. Избирательный календарь.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Порядок назначения выборов. Гарантии проведения периодических выборов.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24. Регистрация (учет) избирателей. Списки избирателей: порядок составления и обнародования.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25. Порядок образования избирательных округов. Требования к избирательным округам.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26. Порядок образования избирательных участков. Требования к избирательным участкам.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Право и условия выдвижения кандидатов.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28. Порядок выдвижения кандидатов: самовыдвижение; выдвижение кандидатов, списков кандидатов избирательными объединениями.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29. Сбор подписей избирателей в поддержку кандидатов (списков кандидатов).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30. Порядок и сроки рассмотрения жалоб избирательными комиссиями.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31. Порядок регистрации кандидатов (списков кандидатов).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32. Доверенные лица кандидата.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Прекращение (утрата) статуса кандидата.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Институт наблюдателей как одна из форм контроля за выборами. Формы участия наблюдателей в избирательном процессе. Виды наблюдателей. 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35. Понятие и правовое регулирование предвыборной агитации. Агитационный период.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36. Понятие финансового обеспечения подготовки и проведения выборов.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37. Избирательные фонды: порядок создания и расходования их средств. Финансовые отчеты кандидатов.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38. Контроль за порядком формирования и целевым расходованием средств избирательных фондов. Контрольно-ревизионные службы при избирательных комиссиях.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Помещение для голосования: требования, предъявляемые к его оборудованию.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40. Избирательный бюллетень: изготовление, форма, текст, количество. Порядок осуществления контроля за изготовлением бюллетеней.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41. Порядок голосования. Условия и порядок досрочного голосования при проведении выборов в органы местного самоуправления.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42. Голосование избирателей вне помещения для голосования.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43. Подсчет голосов избирателей и составление протокола об итогах голосования участковыми избирательными комиссиями.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44. Обработка итогов голосования в вышестоящих избирательных комиссиях.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45. Порядок определения результатов выборов.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46. Повторные выборы. Дополнительные выборы.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47. Признание выборов несостоявшимися.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48. Признание результатов выборов недействительными.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49. Опубликование итогов голосования и результатов выборов.</w:t>
      </w:r>
    </w:p>
    <w:p w:rsidR="00020917" w:rsidRPr="00020917" w:rsidRDefault="00020917" w:rsidP="0002091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50.Использование государственной автоматизированной информационной системы (ГАС «Выборы») при проведении выборов.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3.3 Примерная структура индивидуального задания.</w:t>
      </w:r>
    </w:p>
    <w:p w:rsidR="00020917" w:rsidRPr="00020917" w:rsidRDefault="00020917" w:rsidP="000209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3.3.1 Примерная структура индивидуального задания на преддипломную практику при прохождении практики в Правительстве Оренбургской области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практики от Университета выбирается один из предложенных вариантов индивидуальных заданий или по согласованию со студентом, исходя из сферы его интересов, формируется другое задание.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полномочия Правительства Оренбургской области в сфере экономики, бюджетной, финансовой, кредитной и денежной политики.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2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сфере промышленности, транспорта, связи, сельского хозяйства, науки и инноваций.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3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основе изученных в ходе прохождения практики материалов проанализировать полномочия Правительства Оренбургской области в сфере строительства, жилищно-коммунального и дорожного хозяйства.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4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социальной сфере, в сфере торгового, бытового и иных видов обслуживания населения.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5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полномочия Правительства Оренбургской области в сфере природопользования, охраны окружающей среды, гражданской обороны, защиты населения и территорий от чрезвычайных ситуаций, обеспечения пожарной безопасности.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6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проанализировать общие полномочия Правительства Оренбургской области.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3.3.2. Примерная структура индивидуального задания на преддипломную практику при прохождении практики в Избирательной комиссии Оренбургской области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практики от Университета выбирается один из предложенных вариантов индивидуальных заданий или по согласованию со студентом, исходя из сферы его интересов, формируется другое задание.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практику обращения граждан в Избирательную комиссию Оренбургской области с жалобами.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2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материалов проанализировать изменения в избирательном законодательстве по организации выборов в законодательные (представительные) органы власти субъектов Российской Федерации.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3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изученных в ходе прохождения практики документов и материалов провести анализ практики судов общей юрисдикции о выборах. Использовать Постановление Пленума Верховного Суда РФ от 31.03.2011 N 5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(ред. от 09.02.2012) «О практике рассмотрения судами дел о защите избирательных прав и права на участие в референдуме граждан Российской Федерации».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4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документов и материалов и анализа практики судов общей юрисдикции о выборах подготовить заключение о сути избирательного спора, ставшего предметом судебного разбирательства. Предложить варианты избирательных споров и пути их разрешения.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5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и анализа Постановления Пленума Верховного Суда Российской Федерации от 31.03.2011 N 5 (ред. от 09.02.2012) «О практике рассмотрения судами дел о защите избирательных прав и права на участие в референдуме граждан Российской Федерации» подготовить заключение об особенностях применения судами избирательного законодательства.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6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изученных в ходе прохождения практики материалов и ознакомления с нормами уголовного и административного законодательства об ответственности за правонарушения в сфере выборов выделить критерии привлечения к уголовной и административной ответственности за подкуп избирателей.</w:t>
      </w:r>
    </w:p>
    <w:p w:rsidR="00020917" w:rsidRPr="00020917" w:rsidRDefault="00020917" w:rsidP="00020917">
      <w:pPr>
        <w:widowControl w:val="0"/>
        <w:tabs>
          <w:tab w:val="left" w:pos="3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IV. УЧЕБНО-МЕТОДИЧЕСКОЕ ОБЕСПЕЧЕНИЕ</w:t>
      </w:r>
    </w:p>
    <w:p w:rsidR="00020917" w:rsidRPr="00020917" w:rsidRDefault="00020917" w:rsidP="0002091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4.1При прохождении практики в Правительстве Оренбургской области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 Нормативные правовые акты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Конституция Российской Федерации, принятая всенародным голосованием 12 декабря 1993 г.  </w:t>
      </w: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(принята всенародным голосованием 12.12.1993 с изменениями, одобренными в ходе общероссийского голосования 01.07.2020)//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</w:rPr>
        <w:t>Официальный интернет-портал правовой информации http://www.pravo.gov.ru</w:t>
      </w: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(ред. от 21.12.2021) // СЗ РФ. 1999. № 42. Ст. 5005.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Федеральный закон от 12 июня 2002 г. № 67-ФЗ «Об основных гарантиях избирательных прав и права на участие в референдуме граждан Российской Федерации» (ред. от 01.04.2022) // Официальный интернет-портал правовой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от 10 января 2003 г. № 20-ФЗ «О Государственной автоматизированной системе Российской Федерации «Выборы»» (ред. от 14.03.2022) // Официальный интернет-портал правовой 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 (ред. от 30.04.2021)  // СЗ РФ. 2009. № 7. Ст. 776.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Федеральный закон от 7 февраля 2011 г. № 6-ФЗ «Об общих принципах организации и деятельности контрольно-счётных органов субъектов Российской Федерации и муниципальных образований» (ред. от 01.07.2021) // СЗ РФ. 2011. № 7. Ст. 903.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Регламент Правительства Российской Федерации: Утвержден постановлением Правительства Российской Федерации от 1 июня 2004 г. № 260 </w:t>
      </w:r>
      <w:r w:rsidRPr="00020917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(ред. от 28.04.2021)</w:t>
      </w:r>
      <w:r w:rsidRPr="00020917">
        <w:rPr>
          <w:rFonts w:ascii="Arial" w:eastAsiaTheme="minorEastAsia" w:hAnsi="Arial" w:cs="Arial"/>
          <w:color w:val="333333"/>
          <w:sz w:val="13"/>
          <w:szCs w:val="13"/>
          <w:shd w:val="clear" w:color="auto" w:fill="FFFFFF"/>
          <w:lang w:eastAsia="ru-RU"/>
        </w:rPr>
        <w:t> 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СЗ РФ. 2004. № 23. Ст. 2313.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Постановление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 (ред. от 20.04.2017) // СЗ РФ. 2009. № 48. Ст. 5832.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 Судебная практика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Постановление Конституционного Суда Российской Федерации от 4 апреля 2002 г. №8-П «По делу о проверке конституционности отдельных положений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связи с запросами Государственного Собрания (Ил Тумэн) Республики Саха (Якутия) и Совета Республики Государственного Совета – Хасэ Республики Адыгея» // СЗ РФ. 2002. № 15. Ст. 1497.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Конституционного Суда Российской Федерации от 21 декабря 2005 г. № 13-П «По делу о проверке конституционности отдельных положений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 Основная литература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Авакьян С.А. Конституционное право России. Учебный курс [Электронный ресурс]: учеб. пособие : в 2 т. Т. 1. – 5-е изд., перераб. и доп. – М. : Норма : ИНФРА-М, 2017. – 864 с. – Режим доступа : http://znanium.com/catalog/product/761228.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Баглай М.В. Конституционное право Российской Федерации : учебник. – 10-е изд., изм. и доп. – М. : Норма : ИНФРА-М, 2013. – 784 с. + [Электронный ресурс] 2015 г. – Режим доступа : http://znanium.com/catalog/product/501246.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4.1.4 Дополнительная литература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Демидов М.В. Законодательные и исполнительные органы государственной власти субъектов Российской Федерации: особенности конституционно-правового статуса и организации деятельности // Конституционное и муниципальное право. – 2014. – № 4. – С. 32 – 36.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Дзидзоев Р.М. Правительство России: некоторые вопросы формирования и состава // Конституционное и муниципальное право. – 2012. – № 12. – С. 39 – 43.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Конституционное право : учебник для бакалавров / М.В. Варлен, Е.Н. Дорошенко [и др.] ; ред. В. И. Фадеев ; Моск. гос. юрид. акад. им. О.Е. Кутафина. – М. : Проспект, 2013, 2014. – 584 с. + [Электронный ресурс] 2017 г. – Режим доступа : http://ebs.prospekt.org/book/35683.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Кравченко В.В. Право граждан Российской Федерации на обращение (правовое регулирование и практика реализации) // Государственная власть и местное самоуправление. 2010. N 4. С. 6 - 8. 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Симонишвили Л.Р. Особенности реализации права законодательной инициативы в государствах с федеративной формой государственного устройства // Юрист. 2015. № 4. С. 35 – 39.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Чепус А.В. Конституционная ответственность Правительства РФ по нормам Конституции России // Конституционное и муниципальное право. – 2014. – № 8. – С. 58 – 61.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7. Чепус А.В. Конституционно-правовое регулирование парламентских расследований деятельности Правительства РФ // Российский юридический журнал. – 2014. – № 5. – С. 135 – 142.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4.2При прохождении практики в Избирательной комиссии Оренбургской области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4.2.1 Нормативные правовые акты</w:t>
      </w:r>
    </w:p>
    <w:p w:rsidR="00020917" w:rsidRPr="00020917" w:rsidRDefault="00020917" w:rsidP="00020917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</w:rPr>
        <w:t>Конституция Российской Федерации, принятая всенародным голосованием 12 декабря 1993 г.</w:t>
      </w: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(принята всенародным голосованием 12.12.1993 с изменениями, одобренными в ходе общероссийского голосования 01.07.2020)//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</w:rPr>
        <w:t>Официальный интернет-портал правовой информации http://www.pravo.gov.ru</w:t>
      </w:r>
      <w:r w:rsidRPr="000209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Конвенция о стандартах демократических выборов, избирательных прав и свобод в государствах – участниках Содружества Независимых Государств (одобрена 24 ноября 2001 года на восемнадцатом пленарном заседании Межпарламентской Ассамблеи, подписана Президентами Армении, Грузии, Киргизии, Молдовы, России, Таджикистана, Украины 7 октября 2002 года в Кишиневе, вступила в силу 11 ноября 2003 года // Официальный интернет-портал правовой 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Федеральный закон от 12 июня 2002 г. №67-ФЗ «Об основных гарантиях избирательных прав и права на участие в референдуме граждан Российской Федерации» (ред. от 30.04.2021) // Официальный интернет-портал правовой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от 10 января 2003 г. №19-ФЗ «О выборах Президента Российской Федерации (ред. от 05.04.2021) // Официальный интернет-портал правовой 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Федеральный закон от 10 января 2003 г. № 20-ФЗ «О Государственной автоматизированной системе Российской Федерации «Выборы»» (ред. от 29.05.2019) // Официальный интернет-портал правовой информации http://www.pravo.gov.ru.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7. Федеральный закон от 6 октября 1999 года № 184 – 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(ред. от 30.04.2021) // СЗ РФ. 1999. № 42. Ст. 5005.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4.2.2 Судебная практика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Постановление Конституционного Суда РФ от 22.12.2015 N 34-П "По делу о проверке конституционности пункта 5 статьи 33 Федерального закона "Об основных гарантиях избирательных прав и права на участие в референдуме граждан Российской Федерации" и части 8 статьи 32 Избирательного кодекса города Москвы в связи с жалобой гражданина К.С. Янкаускаса" // СЗ РФ. 2015. N 52 (ч. I). Ст. 7683.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Конституционного Суда РФ от 16.12.2014 N 33-П "По делу о проверке конституционности ряда положений пунктов 17 и 18 статьи 71 Федерального закона "Об основных гарантиях избирательных прав и права на участие в референдуме граждан Российской Федерации" и частей 3 и 4 статьи 89 Федерального закона "О выборах депутатов Государственной Думы Федерального Собрания Российской Федерации" в связи с жалобой гражданина Н.В. Гончарова"// Вестник Конституционного Суда РФ. 2015. N 2.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Конституционного Суда РФ от 26.06.2014 N 19-П "По делу о проверке конституционности положений части 18 статьи 35 Федерального закона "Об общих принципах организации местного самоуправления в Российской Федерации", пункта 4 статьи 10 и пункта 2 статьи 77 Федерального закона "Об основных гарантиях избирательных прав и права на участие в референдуме граждан Российской Федерации" и пункта 3 статьи 7 Закона Ивановской области "О муниципальных выборах" в связи с жалобой граждан А.В. Ерина и П.В. Лебедева"// Вестник Конституционного Суда РФ. 2014. N 5.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Конституционного Суда РФ от 15.04.2014 N 11-П "По делу о проверке конституционности пункта 1 статьи 65 Федерального закона "Об основных гарантиях избирательных прав и права на участие в референдуме граждан Российской Федерации" в связи с запросом Законодательного Собрания Владимирской области"// Вестник Конституционного Суда РФ. 2014. N 4.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Постановление Конституционного Суда РФ от 10.10.2013 N 20-П "По делу о проверке конституционности подпункта "а" пункта 3.2 статьи 4 Федерального закона "Об основных гарантиях избирательных прав и права на участие в референдуме граждан Российской Федерации", части первой статьи 10 и части шестой статьи 86 Уголовного кодекса Российской Федерации в связи с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жалобами граждан Г.Б. Егорова, А.Л. Казакова, И.Ю. Кравцова, А.В. Куприянова, А.С. Латыпова и В.Ю. Синькова"// Вестник Конституционного Суда РФ. 2014. N 1.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Постановление Пленума Верховного Суда РФ от 31.03.2011 N 5 (ред. от 09.02.2012) "О практике рассмотрения судами дел о защите избирательных прав и права на участие в референдуме граждан Российской Федерации"// Бюллетень Верховного Суда РФ. 2011. N 6, июнь.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4.2.3 Основная литература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Головин А.Г. Избирательное право и избирательный процесс в Российской Федерации [Электронный ресурс] : курс лекций. – М.: Норма: ИНФРА-М, 2016. – 256 с. – Режим доступа : http://znanium.com/catalog/product/526413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Избирательное право и процесс в Российской Федерации : учеб. пособие / И. А. Алексеев, Д. С. Белявский, А.А. Свистунов [и др.]. - М. : Проспект, 2016. – 270 с. + [Электронный ресурс] 2015 г. – Режим доступа : http://ebs.prospekt.org/book/26461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4.2.4 Дополнительная литература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Международные избирательные стандарты: Сборник документов и материалов. Вып. 3 / Центральная избирательная комиссия Российской Федерации. – М., 2013. – 1117 с.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Игнатов С.Л. Комментарий к Федеральному закону от 12 июня 2002 г. N 67-ФЗ «Об основных гарантиях избирательных прав и права на участие в референдуме граждан Российской Федерации» (постатейный). 2-е изд. // СПС КонсультантПлюс. 2014.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Макарцев А.А. Публичные и индивидуальные интересы в избирательном праве России: правовые позиции Конституционного Суда Российской Федерации // Журнал российского права. 2016. N 8. С. 108 – 117.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Нудненко Л.А. Принципы пассивного избирательного права: система и взаимодействие с конституционными правами и свободами личности в России // Актуальные проблемы российского права. 2015. N 10. С. 48 – 54.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Плигин В.Н. Этапы развития избирательного законодательства в Российской Федерации // Гражданин. Выборы. Власть. Научно-аналитический журнал. 2014. № 2. С. 3 – 37.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Синцов Г.В. О роли Верховного Суда Российской Федерации в рассмотрении дел о защите избирательных прав граждан Российской Федерации // Российский судья. 2014. N 5. С. 17 – 19.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7. Худолей Д.М. Международные источники избирательного права и процесса // Вестник Пермского Университета. Юридические науки. 2014. N 2. С. 43 – 49.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8. Щербина И.С. Принуждение как способ воспрепятствования осуществлению избирательных прав граждан или работе избирательных комиссий // Актуальные проблемы российского права. 2016. N 9. С. 35 – 42.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4.3 Перечень ресурсов информационно-телекоммуникационной сети «Интернет», необходимых для освоения преддипломной практики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4.3.1. Ресурсы сети интернет (при прохождении практики в Правительстве Оренбургской области)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 – "Официальная Россия" (сервер органов государственной власти Российской Федерации).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http://www.government.ru – Правительство Российской Федерации.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http://www.ksrf.ru – Конституционный Суд Российской Федерации.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http://www.gov.ru/main/regions/regioni-44.html – субъекты Российской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в сети Интернет.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http://orenburg-gov.ru/ - портал Правительства Оренбургской области.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http://ik56.ru/ - Избирательная комиссия Оренбургской области.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4.3.2. Ресурсы сети интернет (при прохождении практики в Избирательной комиссии Оренбургской области)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http://www.gov.ru – "Официальная Россия" (сервер органов государственной власти Российской Федерации).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http://www.cikrf.ru – сайт Центральной избирательной комиссии РФ.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http://www.kremlin.ru – сайт Президента Российской Федерации.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http://www.duma.gov.ru – официальный сайт Государственной Думы Федерального Собрания Российской Федерации.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http://www.ksrf.ru – официальный сайт Конституционного Суда Российской Федерации.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http://www.aceeeo.org – Ассоциация организаторов выборов стран Центральной и Восточной Европы (АОВЦВЕ) – Ассоциация организаторов выборов стран Европы (АОВСЕ).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http://www.osce.org/odihr - Бюро по демократическим институтам и правам человека ОБСЕ.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http://www.venice.coe.int – Европейская Комиссия «К демократии через право» (Венецианская комиссия).</w:t>
      </w:r>
    </w:p>
    <w:p w:rsidR="00020917" w:rsidRPr="00020917" w:rsidRDefault="00020917" w:rsidP="00020917">
      <w:pPr>
        <w:widowControl w:val="0"/>
        <w:autoSpaceDE w:val="0"/>
        <w:autoSpaceDN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http://ik56.ru/ - Избирательная комиссия Оренбургской области.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20917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020917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020917" w:rsidRPr="00020917" w:rsidRDefault="00020917" w:rsidP="0002091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917" w:rsidRPr="00020917" w:rsidRDefault="00020917" w:rsidP="0002091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917" w:rsidRPr="00020917" w:rsidRDefault="00020917" w:rsidP="0002091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917" w:rsidRPr="00020917" w:rsidRDefault="00020917" w:rsidP="00020917">
      <w:pPr>
        <w:numPr>
          <w:ilvl w:val="1"/>
          <w:numId w:val="39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и учебно-методическое обеспечение программы специалитета</w:t>
      </w:r>
    </w:p>
    <w:p w:rsidR="00020917" w:rsidRPr="00020917" w:rsidRDefault="00020917" w:rsidP="00020917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  <w:t xml:space="preserve">ОПОП ВО обеспечена помещениями, которые  представляют собой учебные аудитории для проведения учебных занятий,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подготовки обучающихся, состав которых определяется в рабочих программах дисциплин (модулей).</w:t>
      </w:r>
    </w:p>
    <w:p w:rsidR="00020917" w:rsidRPr="00020917" w:rsidRDefault="00020917" w:rsidP="00020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Помещения для самостоятельной работы обучающихся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включают в себя: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стол преподавателя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преподавателя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парты ученические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стул ученический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 шт.,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доска магнитная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стационарный информационно-демонстрационный стенд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-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шт.,</w:t>
      </w:r>
    </w:p>
    <w:p w:rsidR="00020917" w:rsidRPr="00020917" w:rsidRDefault="00020917" w:rsidP="00020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0209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ОПОП ВО обеспечена необходимым для реализации перечнем материально-технического обеспечения, который включает в себя:</w:t>
      </w:r>
    </w:p>
    <w:p w:rsidR="00020917" w:rsidRPr="00020917" w:rsidRDefault="00020917" w:rsidP="00020917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5.1.1.Фотолаборатория (лаборатория цифровой фотографии).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Она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предназначена для осуществления информационного и учебно-методического обеспечения образовательного процесса ОПОП ВОпо специальности 40.05.01 Правовое обеспечение национальной безопасности  и направлена на формирование практических навыков и умений обучающихся. Фотолаборатория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(лаборатория цифровой фотографии)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расположена 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ауд. 610а. Ф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отолаборатория (лаборатория цифровой фотографии)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одним из элементов материально-технической базы, обеспечивающей проведение отдельных видов практической подготовки обучающихся по дисциплине  (модулю) «</w:t>
      </w:r>
      <w:r w:rsidRPr="00020917">
        <w:rPr>
          <w:rFonts w:ascii="Times New Roman" w:eastAsiaTheme="minorEastAsia" w:hAnsi="Times New Roman" w:cs="Times New Roman"/>
          <w:color w:val="0D0D0D"/>
          <w:sz w:val="26"/>
          <w:szCs w:val="26"/>
          <w:lang w:eastAsia="ru-RU"/>
        </w:rPr>
        <w:t>Криминалистическое обеспечение национальной безопасности»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Задачами деятельности ф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отолаборатории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являются:</w:t>
      </w:r>
    </w:p>
    <w:p w:rsidR="00020917" w:rsidRPr="00020917" w:rsidRDefault="00020917" w:rsidP="00020917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овладение обучающимися знаниями об основных теоретических и методологических положениях криминалистической фотографии и видеозаписи; системе современных методов и приёмов фотографии и видеозаписи; процедуры фото- и видеосъёмки в ходе  проведения следственных действий; формирования и использования криминалистических учетов; использования возможностей современных технических средств фото- и видеофиксации в процессе расследования преступлений, гражданском и арбитражном процессе, производстве по делам об административных правонарушениях. </w:t>
      </w:r>
    </w:p>
    <w:p w:rsidR="00020917" w:rsidRPr="00020917" w:rsidRDefault="00020917" w:rsidP="00020917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у обучающихся навыков и умений работы с фото-,  видеоаппаратурой и иным оборудованием для криминалистической фотографии и видеозаписи при выявлении и фиксации следов на месте происшествия, осмотре предметов, документов и иных объектов, проведении опознавательной съемки в ходе подготовки опознания живых лиц, трупов, предметов; фиксации хода и результатов иных следственных действий. </w:t>
      </w:r>
    </w:p>
    <w:p w:rsidR="00020917" w:rsidRPr="00020917" w:rsidRDefault="00020917" w:rsidP="00020917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фотолаборатории имеются: съемочная аппаратура, аксессуары, проекционное оборудование, оборудование для обработки и печати фотоизображения, расходные материалы. Более подробная информация о фотолаборатории содержится в соответствующем паспорте.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5.1.2. 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Центр (класс) деловых игр.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(класс) деловых игр предназначен для осуществления информационного и учебно-методического обеспечения образовательного процесса программы специалитета по специальности 40.05.01 Правовое обеспечение национальной безопасности и направлен на формирование практических навыков и умений обучающихся.Центр (класс) деловых игр расположен 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 713. Центр (класс) деловых игр является одним из элементов материально-технической базы, обеспечивающей проведение отдельных видов практической подготовки обучающихся, по дисциплине (модулю) «Социология для юристов». Задачами и функциями Центра являются:</w:t>
      </w:r>
    </w:p>
    <w:p w:rsidR="00020917" w:rsidRPr="00020917" w:rsidRDefault="00020917" w:rsidP="00020917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обязательных требований к условиям реализации основной профессиональной образовательной программы высшего образования по специальности 40.05.01 Правовое обеспечение национальной безопасности;</w:t>
      </w:r>
    </w:p>
    <w:p w:rsidR="00020917" w:rsidRPr="00020917" w:rsidRDefault="00020917" w:rsidP="00020917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 обучающихся перспективного, инновационного мышления, ориентированного на развитие социальных процессов, а не только адаптацию к ним;</w:t>
      </w:r>
    </w:p>
    <w:p w:rsidR="00020917" w:rsidRPr="00020917" w:rsidRDefault="00020917" w:rsidP="00020917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интегрирование на практических занятиях научного обоснования как правотворческой и правоприменительной деятельности, так и управления условиями повышения эффективности законодательной системы;</w:t>
      </w:r>
    </w:p>
    <w:p w:rsidR="00020917" w:rsidRPr="00020917" w:rsidRDefault="00020917" w:rsidP="00020917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возможности максимальной активизации всех обучающихся, присутствующих на занятии;</w:t>
      </w:r>
    </w:p>
    <w:p w:rsidR="00020917" w:rsidRPr="00020917" w:rsidRDefault="00020917" w:rsidP="00020917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моделирование на практических занятиях наиболее приближенных к реальности задач информационно-аналитической и прогнозно-аналитической работы в области социальной организации.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Более подробная информация о Центре содержится в соответствующем паспорте.</w:t>
      </w:r>
    </w:p>
    <w:p w:rsidR="00020917" w:rsidRPr="00020917" w:rsidRDefault="00020917" w:rsidP="000209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0917" w:rsidRPr="00020917" w:rsidRDefault="00020917" w:rsidP="000209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t>5.1.3.Спортивный зал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реализации ОПОП ВО задействованы спортивный зал, расположен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50. </w:t>
      </w:r>
      <w:r w:rsidRPr="0002091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Учебно-тренировочные занятия </w:t>
      </w:r>
      <w:r w:rsidRPr="00020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физической культуре и спорту базируются на широком использовании теоретических знаний и применении разнообразных средств физической культуры и спорта.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обучения; приобретением личного опыта совершенствования и коррекции индивидуального физического развития, функциональных и двигательных возможностей; с освоением жизненно и профессионально необходимых навыков, психофизических качеств. </w:t>
      </w:r>
    </w:p>
    <w:p w:rsidR="00020917" w:rsidRPr="00020917" w:rsidRDefault="00020917" w:rsidP="0002091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5.1.4. Кабинет криминалистики и криминалистический полигон.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кабинетах, расположенных 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ауд. 610, 07 проводятся занятия по дисциплине (модулю) «Криминалистика», которые направлены на формирование у обучающихся: 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 об объекте, предмете, методах криминалистики,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профилактике преступлений; методике раскрытия и расследования отдельных видов и групп преступлений;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умений толковать различные юридические факты, правоприменительную и правоохранительную практику;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 содержание заключений эксперта  (специалиста); объяснять суть и значение  криминалистической методики расследования преступлений отдельного вида (группы); выявлять, давать оценку и содействовать пресечению коррупционного поведения, осуществлять предупреждение правонарушений, выявлять и устранять причины и условия, способствующие их совершению;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навыков  применения при осмотре места происшествия технико-криминалистических средств и методов поиска, обнаружения, фиксации, изъятия и предварительного исследования следов и вещественных доказательств; участия в качестве специалиста  при производстве следственных и иных процессуальных действий; навыков ведения экспертно-криминалистических учетов,  организации справочно-информационных и информационно-поисковых систем;  консультирования субъектов правоприменительной деятельности по вопросам производства и проведения судебных экспертиз, возможностям применения криминалистических средств и методов при установлении фактических обстоятельств расследуемого правонарушения;  навыков анализа и обобщения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экспертной практики при установлении причин и условий, способствующих совершению правонарушений, разработки предложений, направленных на их устранение.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 криминалистики оснащен наглядными учебными пособиями, учебными фильмами, тренажерами, техническими средствами и оборудованием, плакатами, обеспечивающими реализацию проектируемых результатов обучения, в том числе: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интерактивный электронной доской, электронным проектором, персональным компьютером, позволяющими демонстрировать учебные видеофильмы, обучающие программы, презентации. На пяти ноутбуках установлена программа «Осмотр места происшествия», позволяющая имитировать места совершения различных преступлений и проводить виртуальный осмотр места происшествия по предложенной модели, составлять протокол осмотра.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унифицированными криминалистическими чемоданами, укомплектованными необходимыми приборами и приспособлениями для качественного проведения следственных действий; 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портативными контактными микроскопами Микро, LevenhucZenoCash ZC-12, ультрафиолетовыми осветителями ШАГ-4, ОЛД-41, применяемые для визуализации ультрафиолетовых меток и других  защитных элементов на банкнотах и ценных бумагах. 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дактилоскопическим сканером «Папилон ДС-30М» с программным обеспечением; 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массово-габаритными макетами автомата АК, пистолетов ПМ, ТТ, ПЯ, револьвера Наган, наборами стреляных пуль и гильз для баллистических исследований, образцы пулевых повреждений на тканях;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цифровыми фотоаппаратами, металлоискателями; 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унифицированным портфелем для сбора и изъятия микрочастиц «Микрон» для обнаружения, фиксации, изъятия микрообъектов;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ширмой для производства учебного опознания в условиях, исключающих визуальный контакт;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манекенами и набором имитаторов огнестрельных и иных ранений, а также магнитными кистями, дактилоскопическими красками, порошками и пленками, валиками комплектом йодного дактилоскопирования;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другим техническим средствами, материалами.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подробная информация о кабинете содержится в Паспорте кабинета криминалистики.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5.1.5. Кабинеты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информатики (компьютерные</w:t>
      </w: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</w:t>
      </w: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ассы</w:t>
      </w: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задействован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реализации учебной дисциплины (модуля)</w:t>
      </w:r>
      <w:r w:rsidRPr="00020917">
        <w:rPr>
          <w:rFonts w:ascii="Times New Roman" w:eastAsia="Times New Roman" w:hAnsi="Times New Roman" w:cs="Times New Roman"/>
          <w:color w:val="333333"/>
          <w:kern w:val="32"/>
          <w:sz w:val="26"/>
          <w:szCs w:val="26"/>
          <w:shd w:val="clear" w:color="auto" w:fill="FFFFFF"/>
          <w:lang w:eastAsia="ru-RU"/>
        </w:rPr>
        <w:t xml:space="preserve"> «Информатика и информационные технологии в профессиональной деятельности».</w:t>
      </w:r>
      <w:r w:rsidRPr="00020917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Он рассчитан на одновременную работу 26-ти обучающихся за персональными компьютерами </w:t>
      </w:r>
      <w:r w:rsidRPr="0002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Pegatron </w:t>
      </w:r>
      <w:r w:rsidRPr="00020917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>и изучение программны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020917"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 средств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перационны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х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систем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разработки электронных презентаций,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освоение технологий 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 подготовки текстовых документов,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работы с электронными таблицами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020917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с системами обработки больших данных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 xml:space="preserve">с правовой информацией в </w:t>
      </w:r>
      <w:r w:rsidRPr="00020917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lastRenderedPageBreak/>
        <w:t>справочных правовых системах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,. Кабинет расположен 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>Оренбург, ул. Комсомольская, 50,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ауд. №512,514.</w:t>
      </w:r>
    </w:p>
    <w:p w:rsidR="00020917" w:rsidRPr="00020917" w:rsidRDefault="00020917" w:rsidP="00020917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tabs>
          <w:tab w:val="left" w:pos="567"/>
        </w:tabs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5.1.6. Кабинеты иностранных языков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расположены по адресу: 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Оренбург, ул. Комсомольская, 50, 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ауд. №№ 405, 406, 407, 409 задействованы в реализации учебной дисциплины (модуля) «Иностранный язык».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Учебные аудитории предназначены</w:t>
      </w: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поднятию 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уровня коммуникативного владения иностранным языком при выполнении основных видов речевой деятельности (говорения, письма, чтения и аудирования).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5.2.</w:t>
      </w: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подлежит обновлению при необходимости.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программного обеспечения (ПО), установленного на компьютерах, задействованных в  образовательном  процессе по ОПОП ВО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020917" w:rsidRPr="00020917" w:rsidRDefault="00020917" w:rsidP="0002091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812"/>
        <w:gridCol w:w="2932"/>
        <w:gridCol w:w="2282"/>
      </w:tblGrid>
      <w:tr w:rsidR="00020917" w:rsidRPr="00020917" w:rsidTr="000E5E15">
        <w:trPr>
          <w:trHeight w:val="8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ПО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ПО, программная среда, СУБД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лицензирования</w:t>
            </w:r>
          </w:p>
        </w:tc>
      </w:tr>
      <w:tr w:rsidR="00020917" w:rsidRPr="00020917" w:rsidTr="000E5E15">
        <w:trPr>
          <w:trHeight w:val="2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ПО, устанавливаемое на рабочую станцию</w:t>
            </w:r>
          </w:p>
        </w:tc>
      </w:tr>
      <w:tr w:rsidR="00020917" w:rsidRPr="00020917" w:rsidTr="000E5E15">
        <w:trPr>
          <w:trHeight w:val="20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Антивирусная защита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lang w:eastAsia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</w:tr>
      <w:tr w:rsidR="00020917" w:rsidRPr="00020917" w:rsidTr="000E5E1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020917" w:rsidRPr="00020917" w:rsidTr="000E5E1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«Програмос-Проекты»</w:t>
            </w:r>
          </w:p>
        </w:tc>
      </w:tr>
      <w:tr w:rsidR="00020917" w:rsidRPr="00020917" w:rsidTr="000E5E15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Офисные пакеты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договорам: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hyperlink r:id="rId9" w:history="1">
              <w:r w:rsidRPr="00020917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УТ0021486</w:t>
              </w:r>
            </w:hyperlink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19.07.2016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УТ0024065 от 03.07.2017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№УТ0026711 от 17.07.2018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24-223/19 от 05.07.2019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№УТ0031243/9-223/20 от 16.07.2020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№УТ0032987 01.07.2021</w:t>
            </w:r>
          </w:p>
        </w:tc>
      </w:tr>
      <w:tr w:rsidR="00020917" w:rsidRPr="00020917" w:rsidTr="000E5E1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MicrosoftOffice</w:t>
            </w:r>
          </w:p>
        </w:tc>
      </w:tr>
      <w:tr w:rsidR="00020917" w:rsidRPr="00020917" w:rsidTr="000E5E15">
        <w:trPr>
          <w:trHeight w:val="13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договору: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328-У от 19.02.2021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917" w:rsidRPr="00020917" w:rsidTr="000E5E15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7-Zip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020917" w:rsidRPr="00020917" w:rsidTr="000E5E15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 браузер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GoogleChrome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Adobe Acrobat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для просмотра файлов 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DJVU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Foxit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DjVu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viewer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Открытая лицензия </w:t>
            </w:r>
          </w:p>
        </w:tc>
      </w:tr>
      <w:tr w:rsidR="00020917" w:rsidRPr="00020917" w:rsidTr="000E5E15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Пакет кодеков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K-LiteCodecPack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WindowsMediaPlayer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комплекте с ОС</w:t>
            </w:r>
          </w:p>
        </w:tc>
      </w:tr>
      <w:tr w:rsidR="00020917" w:rsidRPr="00020917" w:rsidTr="000E5E15">
        <w:trPr>
          <w:trHeight w:val="2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vlcpleer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flashpleer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Winamp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  <w:tr w:rsidR="00020917" w:rsidRPr="00020917" w:rsidTr="000E5E15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Справочно- правовые системы (СПС)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лицензия</w:t>
            </w:r>
          </w:p>
        </w:tc>
      </w:tr>
    </w:tbl>
    <w:p w:rsidR="00020917" w:rsidRPr="00020917" w:rsidRDefault="00020917" w:rsidP="0002091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numPr>
          <w:ilvl w:val="1"/>
          <w:numId w:val="4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Электронно-библиотечная система (электронная библиотека) и электронная информационно-образовательная среда</w:t>
      </w:r>
    </w:p>
    <w:p w:rsidR="00020917" w:rsidRPr="00020917" w:rsidRDefault="00020917" w:rsidP="000209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Помимо электронных 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</w:p>
    <w:p w:rsidR="00020917" w:rsidRPr="00020917" w:rsidRDefault="00020917" w:rsidP="000209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9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020917" w:rsidRPr="00020917" w:rsidRDefault="00020917" w:rsidP="00020917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5.3.</w:t>
      </w:r>
      <w:r w:rsidRPr="000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Справочно-правовые системы: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3"/>
        <w:gridCol w:w="2111"/>
        <w:gridCol w:w="1832"/>
        <w:gridCol w:w="2460"/>
        <w:gridCol w:w="2423"/>
      </w:tblGrid>
      <w:tr w:rsidR="00020917" w:rsidRPr="00020917" w:rsidTr="000E5E15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№21021512 от 16.03.2021 г. с 16.03.2021 г. по 15.03.2022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22021712 от 09.03.2022 г. с 09.03 2022г. по 08.03.2023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СПС WestlawAcademics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https://uk.westlaw.com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020917" w:rsidRPr="00020917" w:rsidRDefault="00020917" w:rsidP="00020917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20917" w:rsidRPr="00020917" w:rsidRDefault="00020917" w:rsidP="0002091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  <w:p w:rsidR="00020917" w:rsidRPr="00020917" w:rsidRDefault="00020917" w:rsidP="0002091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ЭОэР-5/2022 от 27.10.2021 г. с 01.01.2022 по 31.12.2022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https://www.garant.ru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</w:tbl>
    <w:p w:rsidR="00020917" w:rsidRPr="00020917" w:rsidRDefault="00020917" w:rsidP="000209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5.3.2. Профессиональные базы данных:</w:t>
      </w:r>
    </w:p>
    <w:p w:rsidR="00020917" w:rsidRPr="00020917" w:rsidRDefault="00020917" w:rsidP="000209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1943"/>
        <w:gridCol w:w="1619"/>
        <w:gridCol w:w="3353"/>
        <w:gridCol w:w="2113"/>
      </w:tblGrid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Science</w:t>
            </w: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https://www.scopus.com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ФГБУ «Российский фонд фундаментальных исследований» (РФФИ), сублицензионный </w:t>
            </w: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договор № 20-1573-06235 от 22.09.2020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tgtFrame="_blank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020917"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(НЭБ)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https://rusneb.ru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https://www.prlib.ru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LIBRARY.RU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ЭР-2/2021 от 25.03.2021 г. с 25.03.2021 г. по 24.03.2022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LegalSource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00000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20917" w:rsidRPr="00020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http://web.a.ebscohost.com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020917" w:rsidRPr="00020917" w:rsidRDefault="00020917" w:rsidP="00020917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ЭБ-5/2021 от 02.11.2020 г. с 01.01.2021 г. по 31.12.2021 г.</w:t>
            </w:r>
          </w:p>
          <w:p w:rsidR="00020917" w:rsidRPr="00020917" w:rsidRDefault="00020917" w:rsidP="00020917">
            <w:pPr>
              <w:spacing w:after="20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20917" w:rsidRPr="0002091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http://biblio.litres.ru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«ЛитРес», договор № 290120/Б-1-76 от 12.03.2020 г. с 12.03.2020 г. по 11.03.2021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160221/В-1-157 от 12.03.2021 г. с 12.03.2021 г. по 11.03.2022 г.</w:t>
            </w:r>
          </w:p>
        </w:tc>
      </w:tr>
    </w:tbl>
    <w:p w:rsidR="00020917" w:rsidRPr="00020917" w:rsidRDefault="00020917" w:rsidP="0002091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917" w:rsidRPr="00020917" w:rsidRDefault="00020917" w:rsidP="00020917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5.3.3. Электронно-библиотечные системы:</w:t>
      </w:r>
    </w:p>
    <w:tbl>
      <w:tblPr>
        <w:tblW w:w="512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2054"/>
        <w:gridCol w:w="1907"/>
        <w:gridCol w:w="2540"/>
        <w:gridCol w:w="2256"/>
      </w:tblGrid>
      <w:tr w:rsidR="00020917" w:rsidRPr="00020917" w:rsidTr="000E5E15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3/2021 эбс от 02.11.2020 г. с 01.01.2021 г. по 31.12.2021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№ 1/2022 эбс от 01.10.2021 г. с 01.01.2022 г. по 31.12.2022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- № ЭБ-2/2019 от 29.11.2019 г. с 01.01.2020 г. по 31.12.2020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№ ЭР-4/2022 от 01.10.2021 г. с 01.01.2022 г. по 31.12.2022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02.07.2021 г.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020917" w:rsidRPr="00020917" w:rsidTr="000E5E15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917" w:rsidRPr="00020917" w:rsidRDefault="00000000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="00020917" w:rsidRPr="00020917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«Электронное издательство Юрайт», договоры:</w:t>
            </w:r>
          </w:p>
          <w:p w:rsidR="00020917" w:rsidRPr="00020917" w:rsidRDefault="00020917" w:rsidP="0002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ЭР-1/2021 от 23.03.2021 г. с 03.04.2021 г. по 02.04.2022 г.</w:t>
            </w:r>
          </w:p>
          <w:p w:rsidR="00020917" w:rsidRPr="00020917" w:rsidRDefault="00020917" w:rsidP="00020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09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:rsidR="00020917" w:rsidRPr="00020917" w:rsidRDefault="00020917" w:rsidP="00020917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0917" w:rsidRPr="00020917" w:rsidRDefault="00020917" w:rsidP="00020917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ресурсам: читальный зал располагается на первом этаже недалеко от входа, предназначенного для маломобильных групп обучающихся, рабочие места в читальном зале оборудованы современными эргономичными моноблоками с качественными экранами, а также аудио-гарнитурами, на каждом компьютере имеется возможность увеличения фрагментов изображения или текста с помощью экранной лупы, озвучивания отображаемого на экране текста.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невизуального доступа к информации, коллекция аудиоизданий.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:rsidR="00020917" w:rsidRPr="00020917" w:rsidRDefault="00020917" w:rsidP="00020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020917" w:rsidRPr="00020917" w:rsidRDefault="00020917" w:rsidP="00020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:rsidR="00020917" w:rsidRPr="00020917" w:rsidRDefault="00020917" w:rsidP="00020917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:rsidR="00020917" w:rsidRPr="00020917" w:rsidRDefault="00020917" w:rsidP="00020917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:rsidR="00020917" w:rsidRPr="00020917" w:rsidRDefault="00020917" w:rsidP="00020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:rsidR="00020917" w:rsidRPr="00020917" w:rsidRDefault="00020917" w:rsidP="00020917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официальный сайт Университета – </w:t>
      </w:r>
      <w:hyperlink r:id="rId27" w:history="1">
        <w:r w:rsidRPr="00020917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020917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020917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r w:rsidRPr="00020917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020917">
          <w:rPr>
            <w:rFonts w:ascii="Times New Roman" w:eastAsiaTheme="minorEastAsia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:rsidR="00020917" w:rsidRPr="00020917" w:rsidRDefault="00020917" w:rsidP="00020917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поиск изданий по электронному каталогу;</w:t>
      </w:r>
    </w:p>
    <w:p w:rsidR="00020917" w:rsidRPr="00020917" w:rsidRDefault="00020917" w:rsidP="00020917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возможен онлайн-заказ изданий.</w:t>
      </w:r>
    </w:p>
    <w:p w:rsidR="00020917" w:rsidRPr="00020917" w:rsidRDefault="00020917" w:rsidP="00020917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:rsidR="00020917" w:rsidRPr="00020917" w:rsidRDefault="00020917" w:rsidP="00020917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:rsidR="00020917" w:rsidRPr="00020917" w:rsidRDefault="00020917" w:rsidP="00020917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02091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:rsidR="00020917" w:rsidRPr="00020917" w:rsidRDefault="00020917" w:rsidP="0002091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20917" w:rsidRPr="00020917" w:rsidRDefault="00020917" w:rsidP="00020917">
      <w:pPr>
        <w:widowControl w:val="0"/>
        <w:numPr>
          <w:ilvl w:val="1"/>
          <w:numId w:val="40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091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Профильные организации, с которыми заключены договоры на прохождение обучающимися практики</w:t>
      </w:r>
    </w:p>
    <w:p w:rsidR="00020917" w:rsidRPr="00020917" w:rsidRDefault="00020917" w:rsidP="000209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Консультации с обучающимся перед началом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после прохождения </w:t>
      </w:r>
      <w:r w:rsidRPr="0002091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производственной</w:t>
      </w: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Управление Федеральной службы судебных приставов по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Публичное акционерное общество «Т Плюс»;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Управление Министерства внутренних дел РФ по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Управление Пенсионного фонда РФ;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Прокуратура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Управление Судебного департамента в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Следственное управление Следственного комитета РФ по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Министерство социального развития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10. Комитет по обеспечению деятельности мировых судей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 Оренбургский областной суд;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 Арбитражный суд Оренбургской области;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917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 ОАО «Сбербанк России»</w:t>
      </w: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ED26F" wp14:editId="5E6BA245">
            <wp:extent cx="504825" cy="447675"/>
            <wp:effectExtent l="19050" t="0" r="9525" b="0"/>
            <wp:docPr id="1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020917" w:rsidRPr="00020917" w:rsidRDefault="00020917" w:rsidP="00020917">
      <w:pPr>
        <w:tabs>
          <w:tab w:val="center" w:pos="4678"/>
          <w:tab w:val="left" w:pos="7815"/>
        </w:tabs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имени О.Е. Кутафина (МГЮА)»</w:t>
      </w: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Оренбургский институт (филиал)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Кафедра уголовно-процессуального права и криминалистики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Иванов Иван Иванович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ОТЧЕТНЫЕ  МАТЕРИАЛЫ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прохождении преддипломной практики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студента(ки) __ курса ____группы 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дневного отделения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от Университета: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(ученая степень, звание, фамилия, имя, отчество)</w:t>
      </w:r>
    </w:p>
    <w:p w:rsidR="00020917" w:rsidRPr="00020917" w:rsidRDefault="00020917" w:rsidP="00020917">
      <w:pPr>
        <w:tabs>
          <w:tab w:val="left" w:pos="109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сдачи: ___________________________________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рецензирования___________________________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рецензирования:_______________________</w:t>
      </w:r>
    </w:p>
    <w:p w:rsidR="00020917" w:rsidRPr="00020917" w:rsidRDefault="00020917" w:rsidP="00020917">
      <w:pPr>
        <w:spacing w:after="0" w:line="240" w:lineRule="auto"/>
        <w:ind w:firstLine="3261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(допущен к аттестации/ не допущен к аттестации)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защиты: _________________________________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Оценка: ________________/______________________</w:t>
      </w:r>
    </w:p>
    <w:p w:rsidR="00020917" w:rsidRPr="00020917" w:rsidRDefault="00020917" w:rsidP="00020917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(зачтено/не зачтено)                                     (подпись)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  20__</w:t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Оглавление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hyperlink w:anchor="_Toc505010838" w:history="1">
        <w:r w:rsidRPr="0002091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преддипломной  практики</w:t>
        </w:r>
        <w:r w:rsidRPr="00020917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:rsidR="00020917" w:rsidRPr="00020917" w:rsidRDefault="00000000" w:rsidP="00020917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39" w:history="1">
        <w:r w:rsidR="00020917" w:rsidRPr="0002091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преддипломной практики</w:t>
        </w:r>
        <w:r w:rsidR="00020917" w:rsidRPr="00020917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:rsidR="00020917" w:rsidRPr="00020917" w:rsidRDefault="00000000" w:rsidP="00020917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0" w:history="1">
        <w:r w:rsidR="00020917" w:rsidRPr="0002091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020917" w:rsidRPr="00020917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с места прохождения практики</w:t>
      </w:r>
      <w:r w:rsidRPr="00020917">
        <w:rPr>
          <w:rFonts w:ascii="Times New Roman" w:eastAsiaTheme="minorEastAsia" w:hAnsi="Times New Roman" w:cs="Times New Roman"/>
          <w:webHidden/>
          <w:sz w:val="24"/>
          <w:szCs w:val="24"/>
          <w:lang w:eastAsia="ru-RU"/>
        </w:rPr>
        <w:t>……………………………………………………</w:t>
      </w:r>
    </w:p>
    <w:p w:rsidR="00020917" w:rsidRPr="00020917" w:rsidRDefault="00000000" w:rsidP="00020917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1" w:history="1">
        <w:r w:rsidR="00020917" w:rsidRPr="0002091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020917" w:rsidRPr="00020917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:rsidR="00020917" w:rsidRPr="00020917" w:rsidRDefault="00000000" w:rsidP="00020917">
      <w:pPr>
        <w:tabs>
          <w:tab w:val="right" w:leader="dot" w:pos="948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505010842" w:history="1">
        <w:r w:rsidR="00020917" w:rsidRPr="0002091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020917" w:rsidRPr="00020917">
          <w:rPr>
            <w:rFonts w:ascii="Times New Roman" w:eastAsiaTheme="minorEastAsia" w:hAnsi="Times New Roman" w:cs="Times New Roman"/>
            <w:webHidden/>
            <w:sz w:val="24"/>
            <w:szCs w:val="24"/>
            <w:lang w:eastAsia="ru-RU"/>
          </w:rPr>
          <w:tab/>
        </w:r>
      </w:hyperlink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  <w:br w:type="page"/>
      </w:r>
      <w:bookmarkStart w:id="1" w:name="_Toc505010838"/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Индивидуальное задание для прохождения</w:t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преддипломной практики</w:t>
      </w:r>
      <w:bookmarkEnd w:id="1"/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____________________________________________________________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ФИО обучающегося)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место практики)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от Института    ___________________________/_______________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 задания      « ____» ________________________20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от организации  __________________________/_______________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согласования задания      « ____» ________________________20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_____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2" w:name="_Toc505010839"/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Рабочий график (план) проведения</w:t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преддипломной практики</w:t>
      </w:r>
      <w:bookmarkEnd w:id="2"/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 (ФИО)__________________________________________________________</w:t>
      </w:r>
    </w:p>
    <w:p w:rsidR="00020917" w:rsidRPr="00020917" w:rsidRDefault="00020917" w:rsidP="00020917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 формы обучения _______ курса, группы №______.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организации, предоставляющей место практики:________________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структурного подразделения, выступающего местом практики:_______________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практики: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sz w:val="24"/>
          <w:szCs w:val="24"/>
          <w:lang w:eastAsia="ru-RU"/>
        </w:rPr>
        <w:t>с «_____» ___________20____г.  по  «_____» ___________20____ г.</w:t>
      </w:r>
    </w:p>
    <w:p w:rsidR="00020917" w:rsidRPr="00020917" w:rsidRDefault="00020917" w:rsidP="00020917">
      <w:pPr>
        <w:spacing w:after="0" w:line="240" w:lineRule="auto"/>
        <w:ind w:left="709"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020917" w:rsidRPr="00020917" w:rsidTr="000E5E15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020917" w:rsidRDefault="00020917" w:rsidP="00020917">
            <w:pPr>
              <w:spacing w:after="200" w:line="276" w:lineRule="auto"/>
              <w:ind w:hanging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020917" w:rsidRPr="00020917" w:rsidTr="000E5E15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020917" w:rsidRDefault="00020917" w:rsidP="0002091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Подготовиться к аттестации по практике.</w:t>
            </w:r>
          </w:p>
          <w:p w:rsidR="00020917" w:rsidRPr="00932A0C" w:rsidRDefault="00020917" w:rsidP="00020917">
            <w:pPr>
              <w:spacing w:after="200" w:line="276" w:lineRule="auto"/>
              <w:ind w:left="33"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0917" w:rsidRPr="00020917" w:rsidTr="000E5E15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17" w:rsidRPr="00932A0C" w:rsidRDefault="00020917" w:rsidP="00020917">
            <w:pPr>
              <w:spacing w:after="200" w:line="276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32A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17" w:rsidRPr="00932A0C" w:rsidRDefault="00020917" w:rsidP="00020917">
            <w:pPr>
              <w:spacing w:after="200" w:line="276" w:lineRule="auto"/>
              <w:ind w:hanging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20917" w:rsidRPr="00020917" w:rsidRDefault="00020917" w:rsidP="00020917">
      <w:pPr>
        <w:tabs>
          <w:tab w:val="left" w:pos="360"/>
        </w:tabs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     _____________________________/ _________________________           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Руководитель практики от Университета __________________/___________________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от Организации  ________________ /_________________________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020917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печать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)            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3" w:name="_Toc505010840"/>
    </w:p>
    <w:p w:rsidR="00020917" w:rsidRPr="00020917" w:rsidRDefault="00020917" w:rsidP="00020917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20917" w:rsidRPr="00020917" w:rsidRDefault="00020917" w:rsidP="00020917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Дневник прохождения практики</w:t>
      </w:r>
      <w:bookmarkEnd w:id="3"/>
    </w:p>
    <w:p w:rsidR="00020917" w:rsidRPr="00020917" w:rsidRDefault="00020917" w:rsidP="00020917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20917" w:rsidRPr="00020917" w:rsidRDefault="00020917" w:rsidP="00020917">
      <w:pPr>
        <w:shd w:val="clear" w:color="auto" w:fill="FEFEFE"/>
        <w:spacing w:after="0" w:line="240" w:lineRule="auto"/>
        <w:ind w:right="-85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Обучающегося (ФИО)___________________________________________________________</w:t>
      </w:r>
    </w:p>
    <w:p w:rsidR="00020917" w:rsidRPr="00020917" w:rsidRDefault="00020917" w:rsidP="00020917">
      <w:pPr>
        <w:shd w:val="clear" w:color="auto" w:fill="FEFEFE"/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 формы обучения _______ курса, группы №______.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организации, предоставляющей место практики:________________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структурного подразделения, выступающего местом практики:_______________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практики:</w:t>
      </w:r>
    </w:p>
    <w:p w:rsidR="00020917" w:rsidRPr="00020917" w:rsidRDefault="00020917" w:rsidP="00020917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="Calibri" w:hAnsi="Times New Roman" w:cs="Times New Roman"/>
          <w:sz w:val="24"/>
          <w:szCs w:val="24"/>
          <w:lang w:eastAsia="ru-RU"/>
        </w:rPr>
        <w:t>с «_____» ___________20____г.  по  «_____» ___________20____ г.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020917" w:rsidRPr="00020917" w:rsidTr="000E5E15">
        <w:tc>
          <w:tcPr>
            <w:tcW w:w="1560" w:type="dxa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020917" w:rsidRPr="00020917" w:rsidRDefault="00020917" w:rsidP="00020917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917" w:rsidRPr="00020917" w:rsidRDefault="00020917" w:rsidP="00020917">
            <w:pPr>
              <w:spacing w:after="0" w:line="240" w:lineRule="auto"/>
              <w:ind w:left="-38"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руководителя от организации и печать</w:t>
            </w:r>
          </w:p>
        </w:tc>
      </w:tr>
      <w:tr w:rsidR="00020917" w:rsidRPr="00020917" w:rsidTr="000E5E15">
        <w:trPr>
          <w:trHeight w:val="7172"/>
        </w:trPr>
        <w:tc>
          <w:tcPr>
            <w:tcW w:w="1560" w:type="dxa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20917" w:rsidRPr="00020917" w:rsidRDefault="00020917" w:rsidP="00020917">
            <w:pPr>
              <w:spacing w:after="0" w:line="240" w:lineRule="auto"/>
              <w:ind w:right="-12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0917" w:rsidRPr="00020917" w:rsidRDefault="00020917" w:rsidP="00020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практики,                 __________________/ ______________________________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должность, название организации)(Подпись руководителя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>(указать ФИО руководителя практики)</w:t>
      </w:r>
    </w:p>
    <w:p w:rsidR="00020917" w:rsidRPr="00020917" w:rsidRDefault="00020917" w:rsidP="00020917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практики от Организации, </w:t>
      </w:r>
    </w:p>
    <w:p w:rsidR="00020917" w:rsidRPr="00020917" w:rsidRDefault="00020917" w:rsidP="00020917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место печати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4" w:name="_Toc505010841"/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:rsidR="00020917" w:rsidRPr="00020917" w:rsidRDefault="00020917" w:rsidP="0002091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практики                  __________________/ ______________________________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(указать должность, название организации)(Подпись руководителя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>(указать ФИО руководителя практики)</w:t>
      </w:r>
    </w:p>
    <w:p w:rsidR="00020917" w:rsidRPr="00020917" w:rsidRDefault="00020917" w:rsidP="00020917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практики от Организации, </w:t>
      </w:r>
    </w:p>
    <w:p w:rsidR="00020917" w:rsidRPr="00020917" w:rsidRDefault="00020917" w:rsidP="00020917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t>место печати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«_____»_________________20_____г.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(дата составления характеристики)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</w:t>
      </w:r>
      <w:bookmarkEnd w:id="4"/>
    </w:p>
    <w:p w:rsidR="00020917" w:rsidRPr="00020917" w:rsidRDefault="00020917" w:rsidP="0002091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ПРОХОЖДЕНИИ ПРЕДДИПЛОМНОЙ  ПРАКТИКИ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прохождения практики__________________________________________________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Период прохождения практики ________________________________________________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I.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Ответы на вопросы индивидуального задания.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II.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ЭССЕ</w:t>
      </w:r>
    </w:p>
    <w:p w:rsidR="00020917" w:rsidRPr="00020917" w:rsidRDefault="00020917" w:rsidP="0002091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Обобщение результатов производственной практики</w:t>
      </w:r>
    </w:p>
    <w:p w:rsidR="00020917" w:rsidRPr="00020917" w:rsidRDefault="00020917" w:rsidP="00020917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</w:t>
      </w: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              _______________________/________________________________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ab/>
        <w:t xml:space="preserve">         (подпись)                                                        (ФИО обучающегося)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 подготовки отчета                                          «____» ______________________ 20___ г. 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D28E0" wp14:editId="5F560439">
            <wp:extent cx="501015" cy="445135"/>
            <wp:effectExtent l="19050" t="0" r="0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имени О.Е. Кутафина (МГЮА)»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:rsidR="00020917" w:rsidRPr="00020917" w:rsidRDefault="00020917" w:rsidP="00020917">
      <w:pPr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Оренбургский институт (филиал)</w:t>
      </w:r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20917" w:rsidRPr="00020917" w:rsidRDefault="00020917" w:rsidP="00020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5" w:name="_Toc505010842"/>
      <w:r w:rsidRPr="0002091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ОТЗЫВ РУКОВОДИТЕЛЯ ПРАКТИКИ</w:t>
      </w:r>
      <w:bookmarkEnd w:id="5"/>
    </w:p>
    <w:p w:rsidR="00020917" w:rsidRPr="00020917" w:rsidRDefault="00020917" w:rsidP="000209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20917" w:rsidRPr="00020917" w:rsidRDefault="00020917" w:rsidP="00020917">
      <w:pPr>
        <w:spacing w:after="0" w:line="240" w:lineRule="auto"/>
        <w:ind w:firstLine="1276"/>
        <w:jc w:val="center"/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  <w:t>указать ФИО обучающегося полностью</w:t>
      </w:r>
    </w:p>
    <w:p w:rsidR="00020917" w:rsidRPr="00020917" w:rsidRDefault="00020917" w:rsidP="00020917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______курса  ____________формы обучения </w:t>
      </w:r>
    </w:p>
    <w:p w:rsidR="00020917" w:rsidRPr="00020917" w:rsidRDefault="00020917" w:rsidP="00020917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По итогам прохождения практики руководителем практики от Института готовится отзыв. </w:t>
      </w:r>
    </w:p>
    <w:p w:rsidR="00020917" w:rsidRPr="00020917" w:rsidRDefault="00020917" w:rsidP="0002091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0209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оформление отчетных материалов.</w:t>
      </w:r>
    </w:p>
    <w:p w:rsidR="00020917" w:rsidRPr="00020917" w:rsidRDefault="00020917" w:rsidP="00020917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(обучающийся допущен к аттестации /обучающийся не допущен к аттестации)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</w:p>
    <w:p w:rsidR="00020917" w:rsidRPr="00020917" w:rsidRDefault="00020917" w:rsidP="00020917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«______» ________________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______     ____________________________ / __________________________________________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(дата)Подпись ФИО Руководителя практики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Оценка по итогам аттестации по практике: 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зачтено / не зачтено</w:t>
      </w:r>
    </w:p>
    <w:p w:rsidR="00020917" w:rsidRPr="00020917" w:rsidRDefault="00020917" w:rsidP="00020917">
      <w:pPr>
        <w:tabs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«______» ________________</w:t>
      </w:r>
      <w:r w:rsidRPr="00020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020917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______     ____________________________ / __________________________________________</w:t>
      </w:r>
    </w:p>
    <w:p w:rsidR="00020917" w:rsidRPr="00020917" w:rsidRDefault="00020917" w:rsidP="000209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09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(дата)Подпись ФИО Руководителя практики</w:t>
      </w:r>
    </w:p>
    <w:p w:rsidR="00020917" w:rsidRPr="00020917" w:rsidRDefault="00020917" w:rsidP="000209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917" w:rsidRPr="00020917" w:rsidRDefault="00020917" w:rsidP="00020917">
      <w:pPr>
        <w:spacing w:after="200" w:line="276" w:lineRule="auto"/>
        <w:rPr>
          <w:rFonts w:eastAsiaTheme="minorEastAsia"/>
          <w:lang w:eastAsia="ru-RU"/>
        </w:rPr>
      </w:pPr>
    </w:p>
    <w:p w:rsidR="009406A0" w:rsidRDefault="00000000"/>
    <w:sectPr w:rsidR="009406A0" w:rsidSect="005468A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99B" w:rsidRDefault="004D799B">
      <w:pPr>
        <w:spacing w:after="0" w:line="240" w:lineRule="auto"/>
      </w:pPr>
      <w:r>
        <w:separator/>
      </w:r>
    </w:p>
  </w:endnote>
  <w:endnote w:type="continuationSeparator" w:id="0">
    <w:p w:rsidR="004D799B" w:rsidRDefault="004D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70696"/>
      <w:docPartObj>
        <w:docPartGallery w:val="Page Numbers (Bottom of Page)"/>
        <w:docPartUnique/>
      </w:docPartObj>
    </w:sdtPr>
    <w:sdtContent>
      <w:p w:rsidR="005468A7" w:rsidRDefault="000209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A0C" w:rsidRPr="00932A0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5468A7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99B" w:rsidRDefault="004D799B">
      <w:pPr>
        <w:spacing w:after="0" w:line="240" w:lineRule="auto"/>
      </w:pPr>
      <w:r>
        <w:separator/>
      </w:r>
    </w:p>
  </w:footnote>
  <w:footnote w:type="continuationSeparator" w:id="0">
    <w:p w:rsidR="004D799B" w:rsidRDefault="004D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68A7" w:rsidRDefault="0002091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B02C68" wp14:editId="7DA44AB9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8A7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02C6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" filled="f" stroked="f">
              <v:textbox inset="0,0,0,0">
                <w:txbxContent>
                  <w:p w:rsidR="005468A7" w:rsidRDefault="00020917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0C3E5AE5"/>
    <w:multiLevelType w:val="hybridMultilevel"/>
    <w:tmpl w:val="7D9652E0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934"/>
    <w:multiLevelType w:val="multilevel"/>
    <w:tmpl w:val="11A2B0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63354"/>
    <w:multiLevelType w:val="hybridMultilevel"/>
    <w:tmpl w:val="11540BB2"/>
    <w:lvl w:ilvl="0" w:tplc="C6C60EAA">
      <w:start w:val="1"/>
      <w:numFmt w:val="bullet"/>
      <w:suff w:val="space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68F8"/>
    <w:multiLevelType w:val="hybridMultilevel"/>
    <w:tmpl w:val="991A1BBA"/>
    <w:lvl w:ilvl="0" w:tplc="15C47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02123D"/>
    <w:multiLevelType w:val="multilevel"/>
    <w:tmpl w:val="D8FA74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2160"/>
      </w:pPr>
      <w:rPr>
        <w:rFonts w:hint="default"/>
      </w:rPr>
    </w:lvl>
  </w:abstractNum>
  <w:abstractNum w:abstractNumId="14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882244F"/>
    <w:multiLevelType w:val="hybridMultilevel"/>
    <w:tmpl w:val="26028E24"/>
    <w:lvl w:ilvl="0" w:tplc="521EE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22076F8"/>
    <w:multiLevelType w:val="multilevel"/>
    <w:tmpl w:val="95B27C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67204"/>
    <w:multiLevelType w:val="hybridMultilevel"/>
    <w:tmpl w:val="B4CA4F40"/>
    <w:lvl w:ilvl="0" w:tplc="521EE1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79A8"/>
    <w:multiLevelType w:val="hybridMultilevel"/>
    <w:tmpl w:val="D756B3E8"/>
    <w:lvl w:ilvl="0" w:tplc="7CE4C0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26A5"/>
    <w:multiLevelType w:val="hybridMultilevel"/>
    <w:tmpl w:val="8C88BB5A"/>
    <w:lvl w:ilvl="0" w:tplc="239ED8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34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4023"/>
    <w:multiLevelType w:val="multilevel"/>
    <w:tmpl w:val="BCB64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75919">
    <w:abstractNumId w:val="3"/>
  </w:num>
  <w:num w:numId="2" w16cid:durableId="586774055">
    <w:abstractNumId w:val="25"/>
  </w:num>
  <w:num w:numId="3" w16cid:durableId="1040931327">
    <w:abstractNumId w:val="22"/>
  </w:num>
  <w:num w:numId="4" w16cid:durableId="324550610">
    <w:abstractNumId w:val="26"/>
  </w:num>
  <w:num w:numId="5" w16cid:durableId="1777675276">
    <w:abstractNumId w:val="29"/>
  </w:num>
  <w:num w:numId="6" w16cid:durableId="64377138">
    <w:abstractNumId w:val="27"/>
  </w:num>
  <w:num w:numId="7" w16cid:durableId="171838947">
    <w:abstractNumId w:val="32"/>
  </w:num>
  <w:num w:numId="8" w16cid:durableId="1430202605">
    <w:abstractNumId w:val="35"/>
  </w:num>
  <w:num w:numId="9" w16cid:durableId="810636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192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23182">
    <w:abstractNumId w:val="1"/>
  </w:num>
  <w:num w:numId="12" w16cid:durableId="1027366098">
    <w:abstractNumId w:val="0"/>
  </w:num>
  <w:num w:numId="13" w16cid:durableId="1702166751">
    <w:abstractNumId w:val="7"/>
  </w:num>
  <w:num w:numId="14" w16cid:durableId="1799031476">
    <w:abstractNumId w:val="31"/>
  </w:num>
  <w:num w:numId="15" w16cid:durableId="928468890">
    <w:abstractNumId w:val="38"/>
  </w:num>
  <w:num w:numId="16" w16cid:durableId="90585647">
    <w:abstractNumId w:val="34"/>
  </w:num>
  <w:num w:numId="17" w16cid:durableId="1396050475">
    <w:abstractNumId w:val="8"/>
  </w:num>
  <w:num w:numId="18" w16cid:durableId="747767511">
    <w:abstractNumId w:val="19"/>
  </w:num>
  <w:num w:numId="19" w16cid:durableId="779498426">
    <w:abstractNumId w:val="10"/>
  </w:num>
  <w:num w:numId="20" w16cid:durableId="324433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123663">
    <w:abstractNumId w:val="28"/>
  </w:num>
  <w:num w:numId="22" w16cid:durableId="1559588514">
    <w:abstractNumId w:val="16"/>
  </w:num>
  <w:num w:numId="23" w16cid:durableId="857547820">
    <w:abstractNumId w:val="12"/>
  </w:num>
  <w:num w:numId="24" w16cid:durableId="28342518">
    <w:abstractNumId w:val="11"/>
  </w:num>
  <w:num w:numId="25" w16cid:durableId="1499730508">
    <w:abstractNumId w:val="23"/>
  </w:num>
  <w:num w:numId="26" w16cid:durableId="779648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2177524">
    <w:abstractNumId w:val="39"/>
  </w:num>
  <w:num w:numId="28" w16cid:durableId="1424953532">
    <w:abstractNumId w:val="36"/>
  </w:num>
  <w:num w:numId="29" w16cid:durableId="102694967">
    <w:abstractNumId w:val="5"/>
  </w:num>
  <w:num w:numId="30" w16cid:durableId="12726090">
    <w:abstractNumId w:val="33"/>
  </w:num>
  <w:num w:numId="31" w16cid:durableId="945894010">
    <w:abstractNumId w:val="21"/>
  </w:num>
  <w:num w:numId="32" w16cid:durableId="332493190">
    <w:abstractNumId w:val="2"/>
  </w:num>
  <w:num w:numId="33" w16cid:durableId="940915019">
    <w:abstractNumId w:val="6"/>
  </w:num>
  <w:num w:numId="34" w16cid:durableId="1461654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4047420">
    <w:abstractNumId w:val="17"/>
  </w:num>
  <w:num w:numId="36" w16cid:durableId="1732848943">
    <w:abstractNumId w:val="30"/>
  </w:num>
  <w:num w:numId="37" w16cid:durableId="136804633">
    <w:abstractNumId w:val="37"/>
  </w:num>
  <w:num w:numId="38" w16cid:durableId="918636228">
    <w:abstractNumId w:val="20"/>
  </w:num>
  <w:num w:numId="39" w16cid:durableId="928469785">
    <w:abstractNumId w:val="9"/>
  </w:num>
  <w:num w:numId="40" w16cid:durableId="624191385">
    <w:abstractNumId w:val="18"/>
  </w:num>
  <w:num w:numId="41" w16cid:durableId="815030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17"/>
    <w:rsid w:val="00020917"/>
    <w:rsid w:val="004D799B"/>
    <w:rsid w:val="00785D7C"/>
    <w:rsid w:val="00932A0C"/>
    <w:rsid w:val="00AC1FE1"/>
    <w:rsid w:val="00AF2E30"/>
    <w:rsid w:val="00C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D3098-D937-494A-87B3-ABAFBE0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0917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091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091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09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20917"/>
  </w:style>
  <w:style w:type="numbering" w:customStyle="1" w:styleId="110">
    <w:name w:val="Нет списка11"/>
    <w:next w:val="a2"/>
    <w:uiPriority w:val="99"/>
    <w:semiHidden/>
    <w:unhideWhenUsed/>
    <w:rsid w:val="00020917"/>
  </w:style>
  <w:style w:type="table" w:customStyle="1" w:styleId="TableNormal">
    <w:name w:val="Table Normal"/>
    <w:uiPriority w:val="2"/>
    <w:semiHidden/>
    <w:unhideWhenUsed/>
    <w:qFormat/>
    <w:rsid w:val="00020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209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020917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20917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0209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20917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209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020917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0209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20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209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qFormat/>
    <w:rsid w:val="00020917"/>
    <w:rPr>
      <w:vertAlign w:val="superscript"/>
    </w:rPr>
  </w:style>
  <w:style w:type="character" w:styleId="af">
    <w:name w:val="Hyperlink"/>
    <w:basedOn w:val="a0"/>
    <w:uiPriority w:val="99"/>
    <w:unhideWhenUsed/>
    <w:rsid w:val="0002091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2091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917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020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0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link w:val="af3"/>
    <w:uiPriority w:val="1"/>
    <w:qFormat/>
    <w:rsid w:val="00020917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0209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2091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2091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0917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0917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b"/>
    <w:uiPriority w:val="59"/>
    <w:rsid w:val="0002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02091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020917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020917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20917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2091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20917"/>
    <w:rPr>
      <w:rFonts w:ascii="Times New Roman" w:eastAsia="Times New Roman" w:hAnsi="Times New Roman" w:cs="Times New Roman"/>
      <w:lang w:val="en-US"/>
    </w:rPr>
  </w:style>
  <w:style w:type="character" w:customStyle="1" w:styleId="af7">
    <w:name w:val="Основной текст_"/>
    <w:link w:val="13"/>
    <w:locked/>
    <w:rsid w:val="0002091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020917"/>
    <w:pPr>
      <w:shd w:val="clear" w:color="auto" w:fill="FFFFFF"/>
      <w:spacing w:after="120" w:line="0" w:lineRule="atLeast"/>
      <w:jc w:val="both"/>
    </w:pPr>
    <w:rPr>
      <w:sz w:val="27"/>
      <w:szCs w:val="27"/>
    </w:rPr>
  </w:style>
  <w:style w:type="character" w:customStyle="1" w:styleId="a6">
    <w:name w:val="Абзац списка Знак"/>
    <w:basedOn w:val="a0"/>
    <w:link w:val="a5"/>
    <w:uiPriority w:val="34"/>
    <w:locked/>
    <w:rsid w:val="00020917"/>
    <w:rPr>
      <w:rFonts w:ascii="Times New Roman" w:eastAsia="Times New Roman" w:hAnsi="Times New Roman" w:cs="Times New Roman"/>
      <w:lang w:val="en-US"/>
    </w:rPr>
  </w:style>
  <w:style w:type="character" w:styleId="af8">
    <w:name w:val="annotation reference"/>
    <w:basedOn w:val="a0"/>
    <w:uiPriority w:val="99"/>
    <w:semiHidden/>
    <w:unhideWhenUsed/>
    <w:rsid w:val="000209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20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209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209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2091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0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020917"/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2091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020917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020917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a.ebscohost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223/contract/public/contract/view/general-information.html?id=7031110" TargetMode="Externa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://www.msa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13260</Words>
  <Characters>75584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Артем Шамардин</cp:lastModifiedBy>
  <cp:revision>2</cp:revision>
  <dcterms:created xsi:type="dcterms:W3CDTF">2023-06-19T11:37:00Z</dcterms:created>
  <dcterms:modified xsi:type="dcterms:W3CDTF">2023-06-19T11:37:00Z</dcterms:modified>
</cp:coreProperties>
</file>